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6334" w:leader="none"/>
        </w:tabs>
        <w:spacing w:lineRule="auto" w:line="276" w:before="120" w:after="0"/>
        <w:rPr>
          <w:rFonts w:cs="Calibri" w:cstheme="minorHAnsi"/>
          <w:sz w:val="24"/>
          <w:szCs w:val="24"/>
        </w:rPr>
      </w:pPr>
      <w:r>
        <w:rPr/>
        <w:drawing>
          <wp:inline distT="0" distB="0" distL="0" distR="0">
            <wp:extent cx="5972810" cy="542290"/>
            <wp:effectExtent l="0" t="0" r="0" b="0"/>
            <wp:docPr id="1"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2"/>
                    <a:stretch>
                      <a:fillRect/>
                    </a:stretch>
                  </pic:blipFill>
                  <pic:spPr bwMode="auto">
                    <a:xfrm>
                      <a:off x="0" y="0"/>
                      <a:ext cx="5972810" cy="542290"/>
                    </a:xfrm>
                    <a:prstGeom prst="rect">
                      <a:avLst/>
                    </a:prstGeom>
                  </pic:spPr>
                </pic:pic>
              </a:graphicData>
            </a:graphic>
          </wp:inline>
        </w:drawing>
      </w:r>
    </w:p>
    <w:p>
      <w:pPr>
        <w:pStyle w:val="Normal"/>
        <w:tabs>
          <w:tab w:val="clear" w:pos="720"/>
          <w:tab w:val="left" w:pos="6334" w:leader="none"/>
        </w:tabs>
        <w:spacing w:lineRule="auto" w:line="276" w:before="120" w:after="0"/>
        <w:rPr>
          <w:rFonts w:cs="Calibri" w:cstheme="minorHAnsi"/>
        </w:rPr>
      </w:pPr>
      <w:r>
        <w:rPr>
          <w:rFonts w:cs="Calibri" w:cstheme="minorHAnsi"/>
        </w:rPr>
        <w:t xml:space="preserve">Znak sprawy: </w:t>
      </w:r>
      <w:r>
        <w:rPr>
          <w:rFonts w:cs="Calibri"/>
        </w:rPr>
        <w:t>ZOZ/ZP/7/10/2020</w:t>
      </w:r>
    </w:p>
    <w:p>
      <w:pPr>
        <w:pStyle w:val="Normal"/>
        <w:tabs>
          <w:tab w:val="clear" w:pos="720"/>
          <w:tab w:val="left" w:pos="6334" w:leader="none"/>
        </w:tabs>
        <w:spacing w:lineRule="auto" w:line="276" w:before="0" w:after="240"/>
        <w:jc w:val="right"/>
        <w:rPr/>
      </w:pPr>
      <w:r>
        <w:rPr>
          <w:rFonts w:cs="Calibri" w:cstheme="minorHAnsi"/>
        </w:rPr>
        <w:t xml:space="preserve">Pińczów, </w:t>
      </w:r>
      <w:r>
        <w:rPr>
          <w:rFonts w:cs="Calibri" w:cstheme="minorHAnsi"/>
        </w:rPr>
        <w:t>dnia 13.11.</w:t>
      </w:r>
      <w:r>
        <w:rPr>
          <w:rFonts w:cs="Calibri" w:cstheme="minorHAnsi"/>
        </w:rPr>
        <w:t>2020r.</w:t>
      </w:r>
    </w:p>
    <w:p>
      <w:pPr>
        <w:pStyle w:val="Normal"/>
        <w:tabs>
          <w:tab w:val="clear" w:pos="720"/>
          <w:tab w:val="left" w:pos="6334" w:leader="none"/>
        </w:tabs>
        <w:spacing w:lineRule="auto" w:line="276" w:before="0" w:after="0"/>
        <w:rPr>
          <w:rFonts w:cs="Calibri" w:cstheme="minorHAnsi"/>
          <w:b/>
          <w:b/>
        </w:rPr>
      </w:pPr>
      <w:r>
        <w:rPr>
          <w:rFonts w:cs="Calibri" w:cstheme="minorHAnsi"/>
          <w:b/>
        </w:rPr>
        <w:t>Do wszystkich zainteresowanych,</w:t>
      </w:r>
    </w:p>
    <w:p>
      <w:pPr>
        <w:pStyle w:val="Normal"/>
        <w:tabs>
          <w:tab w:val="clear" w:pos="720"/>
          <w:tab w:val="left" w:pos="6334" w:leader="none"/>
        </w:tabs>
        <w:spacing w:lineRule="auto" w:line="276" w:before="0" w:after="240"/>
        <w:rPr>
          <w:rFonts w:cs="Calibri" w:cstheme="minorHAnsi"/>
          <w:b/>
          <w:b/>
        </w:rPr>
      </w:pPr>
      <w:r>
        <w:rPr>
          <w:rFonts w:cs="Calibri" w:cstheme="minorHAnsi"/>
          <w:b/>
        </w:rPr>
        <w:t>którzy pobrali SIWZ</w:t>
      </w:r>
    </w:p>
    <w:p>
      <w:pPr>
        <w:pStyle w:val="Normal"/>
        <w:tabs>
          <w:tab w:val="clear" w:pos="720"/>
          <w:tab w:val="left" w:pos="6334" w:leader="none"/>
        </w:tabs>
        <w:spacing w:lineRule="auto" w:line="276" w:before="0" w:after="0"/>
        <w:jc w:val="center"/>
        <w:rPr>
          <w:rFonts w:cs="Calibri" w:cstheme="minorHAnsi"/>
          <w:b/>
          <w:b/>
        </w:rPr>
      </w:pPr>
      <w:r>
        <w:rPr>
          <w:rFonts w:cs="Calibri" w:cstheme="minorHAnsi"/>
          <w:b/>
        </w:rPr>
        <w:t>ODPOWIEDŹ NR 1</w:t>
      </w:r>
    </w:p>
    <w:p>
      <w:pPr>
        <w:pStyle w:val="Normal"/>
        <w:tabs>
          <w:tab w:val="clear" w:pos="720"/>
          <w:tab w:val="left" w:pos="6334" w:leader="none"/>
        </w:tabs>
        <w:spacing w:lineRule="auto" w:line="276" w:before="0" w:after="120"/>
        <w:jc w:val="center"/>
        <w:rPr>
          <w:rFonts w:cs="Calibri" w:cstheme="minorHAnsi"/>
          <w:b/>
          <w:b/>
        </w:rPr>
      </w:pPr>
      <w:r>
        <w:rPr>
          <w:rFonts w:cs="Calibri" w:cstheme="minorHAnsi"/>
          <w:b/>
        </w:rPr>
        <w:t>NA WNIOSKI WYKONAWCÓW</w:t>
      </w:r>
    </w:p>
    <w:p>
      <w:pPr>
        <w:pStyle w:val="Normal"/>
        <w:spacing w:lineRule="auto" w:line="276" w:before="0" w:after="120"/>
        <w:jc w:val="both"/>
        <w:rPr>
          <w:rFonts w:cs="Calibri" w:cstheme="minorHAnsi"/>
          <w:b/>
          <w:b/>
        </w:rPr>
      </w:pPr>
      <w:r>
        <w:rPr>
          <w:rFonts w:cs="Calibri" w:cstheme="minorHAnsi"/>
          <w:b/>
        </w:rPr>
        <w:t>Dotyczy: przetarg nieograniczony na Dostawę i wdrożenie infrastruktury serwerowej i sieciowej oraz oprogramowania dla szpitalnego systemu informatycznego (SSI)</w:t>
      </w:r>
    </w:p>
    <w:p>
      <w:pPr>
        <w:pStyle w:val="Normal"/>
        <w:spacing w:lineRule="auto" w:line="276" w:before="360" w:after="120"/>
        <w:ind w:firstLine="431"/>
        <w:jc w:val="both"/>
        <w:rPr>
          <w:rFonts w:cs="Calibri" w:cstheme="minorHAnsi"/>
        </w:rPr>
      </w:pPr>
      <w:r>
        <w:rPr>
          <w:rFonts w:cs="Calibri" w:cstheme="minorHAnsi"/>
          <w:b/>
        </w:rPr>
        <w:t xml:space="preserve">Zamawiający </w:t>
      </w:r>
      <w:r>
        <w:rPr>
          <w:rFonts w:cs="Calibri" w:cstheme="minorHAnsi"/>
        </w:rPr>
        <w:t>– Zespół Opieki Zdrowotnej w Pińczowie, udziela odpowiedzi na wnioski Wykonawców złożone w przedmiotowym postępowaniu oraz działając na podstawie art. 38 ust. 4 ustawy Prawo zamówień publicznych (t.j. Dz. U. z 2019 poz. 1843 ze zm.) dokonuje zmiany treści SIWZ:</w:t>
      </w:r>
    </w:p>
    <w:p>
      <w:pPr>
        <w:pStyle w:val="Normal"/>
        <w:spacing w:lineRule="auto" w:line="276" w:before="240" w:after="120"/>
        <w:jc w:val="both"/>
        <w:rPr>
          <w:rFonts w:ascii="Calibri" w:hAnsi="Calibri" w:eastAsia="Calibri" w:cs="Times New Roman"/>
          <w:b/>
          <w:b/>
          <w:bCs/>
          <w:u w:val="single"/>
        </w:rPr>
      </w:pPr>
      <w:r>
        <w:rPr>
          <w:rFonts w:eastAsia="Calibri" w:cs="Times New Roman"/>
          <w:b/>
          <w:bCs/>
          <w:u w:val="single"/>
        </w:rPr>
        <w:t>Pytanie nr 1</w:t>
      </w:r>
    </w:p>
    <w:p>
      <w:pPr>
        <w:pStyle w:val="Normal"/>
        <w:spacing w:lineRule="auto" w:line="276" w:before="0" w:after="0"/>
        <w:rPr/>
      </w:pPr>
      <w:r>
        <w:rPr/>
        <w:t>Dotyczy: Załącznik nr 1A do SIWZ, rozdział II.1.1. – Serwer aplikacyjny, cecha 5 – Sloty rozszerzeń, pkt. 1, 2, 3</w:t>
      </w:r>
    </w:p>
    <w:p>
      <w:pPr>
        <w:pStyle w:val="Normal"/>
        <w:spacing w:lineRule="auto" w:line="276" w:before="0" w:after="0"/>
        <w:rPr/>
      </w:pPr>
      <w:r>
        <w:rPr/>
        <w:t>Czy wymagania SIWZ zostaną spełnione, jeżeli Wykonawca wykorzysta serwer aplikacyjny, który posiada 3 sloty PCIe x16 low profile? Zaznaczamy, iż powyższe rozwiązanie umożliwia instalację wymaganych kart rozszerzeń i nie wpływa na funkcjonalność całego serwera. Czy takie rozwiązanie stanowi rozwiązanie równoważne zgodnie z Działem III ust. 12 SIWZ?</w:t>
      </w:r>
    </w:p>
    <w:p>
      <w:pPr>
        <w:pStyle w:val="Normal"/>
        <w:spacing w:lineRule="auto" w:line="276" w:before="120" w:after="120"/>
        <w:jc w:val="both"/>
        <w:rPr>
          <w:rFonts w:ascii="Calibri" w:hAnsi="Calibri" w:eastAsia="Calibri" w:cs="Times New Roman"/>
          <w:b/>
          <w:b/>
          <w:bCs/>
          <w:u w:val="single"/>
        </w:rPr>
      </w:pPr>
      <w:r>
        <w:rPr>
          <w:rFonts w:eastAsia="Calibri" w:cs="Times New Roman"/>
          <w:b/>
          <w:bCs/>
          <w:u w:val="single"/>
        </w:rPr>
        <w:t>Odpowiedź nr 1</w:t>
      </w:r>
    </w:p>
    <w:p>
      <w:pPr>
        <w:pStyle w:val="Normal"/>
        <w:spacing w:lineRule="auto" w:line="276" w:before="0" w:after="120"/>
        <w:jc w:val="both"/>
        <w:rPr>
          <w:rFonts w:ascii="Calibri" w:hAnsi="Calibri" w:eastAsia="Calibri" w:cs="Times New Roman"/>
        </w:rPr>
      </w:pPr>
      <w:r>
        <w:rPr>
          <w:rFonts w:eastAsia="Calibri" w:cs="Times New Roman"/>
        </w:rPr>
        <w:t>Zamawiający podtrzymuje zapisy SIWZ. Zamawiający oczekuje możliwości zainstalowania minimum jednej karty full height w oferowanym serwerze.</w:t>
      </w:r>
    </w:p>
    <w:p>
      <w:pPr>
        <w:pStyle w:val="Normal"/>
        <w:spacing w:lineRule="auto" w:line="276" w:before="240" w:after="120"/>
        <w:jc w:val="both"/>
        <w:rPr>
          <w:rFonts w:ascii="Calibri" w:hAnsi="Calibri" w:eastAsia="Calibri" w:cs="Times New Roman"/>
          <w:b/>
          <w:b/>
          <w:bCs/>
          <w:u w:val="single"/>
        </w:rPr>
      </w:pPr>
      <w:r>
        <w:rPr>
          <w:rFonts w:eastAsia="Calibri" w:cs="Times New Roman"/>
          <w:b/>
          <w:bCs/>
          <w:u w:val="single"/>
        </w:rPr>
        <w:t>Pytanie nr 2</w:t>
      </w:r>
    </w:p>
    <w:p>
      <w:pPr>
        <w:pStyle w:val="Normal"/>
        <w:spacing w:lineRule="auto" w:line="276" w:before="0" w:after="0"/>
        <w:rPr/>
      </w:pPr>
      <w:r>
        <w:rPr/>
        <w:t>Dotyczy: Załącznik nr 1A do SIWZ, rozdział II.1.1. – Serwer aplikacyjny, cecha 6 – dysk twardy, pkt. 1</w:t>
      </w:r>
    </w:p>
    <w:p>
      <w:pPr>
        <w:pStyle w:val="Normal"/>
        <w:spacing w:lineRule="auto" w:line="276" w:before="0" w:after="0"/>
        <w:rPr/>
      </w:pPr>
      <w:r>
        <w:rPr/>
        <w:t>Czy wymagania SIWZ zostaną spełnione, jeżeli Wykonawca zastosuje rozwiązanie polegające na dostawie serwera, który będzie posiadał zatoki dyskowe gotowe do zainstalowania 10 dysków SFF typu Hot Swap, SAS/SATA/SSD 2,5”?</w:t>
      </w:r>
    </w:p>
    <w:p>
      <w:pPr>
        <w:pStyle w:val="Normal"/>
        <w:spacing w:lineRule="auto" w:line="276" w:before="120" w:after="120"/>
        <w:jc w:val="both"/>
        <w:rPr>
          <w:rFonts w:ascii="Calibri" w:hAnsi="Calibri" w:eastAsia="Calibri" w:cs="Times New Roman"/>
          <w:b/>
          <w:b/>
          <w:bCs/>
          <w:u w:val="single"/>
        </w:rPr>
      </w:pPr>
      <w:r>
        <w:rPr>
          <w:rFonts w:eastAsia="Calibri" w:cs="Times New Roman"/>
          <w:b/>
          <w:bCs/>
          <w:u w:val="single"/>
        </w:rPr>
        <w:t>Odpowiedź nr 2</w:t>
      </w:r>
    </w:p>
    <w:p>
      <w:pPr>
        <w:pStyle w:val="Normal"/>
        <w:spacing w:lineRule="auto" w:line="276" w:before="0" w:after="120"/>
        <w:jc w:val="both"/>
        <w:rPr>
          <w:rFonts w:eastAsia="Calibri"/>
          <w:b/>
          <w:b/>
        </w:rPr>
      </w:pPr>
      <w:r>
        <w:rPr>
          <w:rFonts w:cs="Calibri"/>
          <w:bCs/>
        </w:rPr>
        <w:t xml:space="preserve">Zamawiający dopuszcza proponowane rozwiązanie i </w:t>
      </w:r>
      <w:r>
        <w:rPr>
          <w:rFonts w:eastAsia="Calibri"/>
          <w:bCs/>
        </w:rPr>
        <w:t xml:space="preserve">dokonuje zmiany zapisu SIWZ </w:t>
      </w:r>
      <w:r>
        <w:rPr>
          <w:rFonts w:eastAsia="Calibri"/>
          <w:b/>
        </w:rPr>
        <w:t>w Załączniku nr 1A – SOPZ Część 1, rozdział II ust. II.1.1 – Serwer aplikacyjny, pozycja 6 pkt 1, który otrzymuje brzmienie:</w:t>
      </w:r>
    </w:p>
    <w:p>
      <w:pPr>
        <w:pStyle w:val="Normal"/>
        <w:spacing w:lineRule="auto" w:line="276" w:before="0" w:after="15"/>
        <w:ind w:right="38" w:hanging="0"/>
        <w:jc w:val="both"/>
        <w:rPr>
          <w:rFonts w:ascii="Calibri" w:hAnsi="Calibri" w:cs="Calibri"/>
        </w:rPr>
      </w:pPr>
      <w:r>
        <w:rPr>
          <w:rFonts w:eastAsia="Times New Roman" w:cs="Calibri"/>
          <w:lang w:eastAsia="zh-CN"/>
        </w:rPr>
        <w:t>„</w:t>
      </w:r>
      <w:r>
        <w:rPr>
          <w:rFonts w:eastAsia="Times New Roman" w:cs="Calibri"/>
          <w:lang w:eastAsia="zh-CN"/>
        </w:rPr>
        <w:t>Zatoki dyskowe gotowe do zainstalowania 8 dysków SFF typu Hot Swap SAS/SATA/SSD 2,5” i opcja rozbudowy/rekonfiguracji o dodatkowe 2 dyski typu Hot Swap SAS/SATA/SSD</w:t>
      </w:r>
      <w:r>
        <w:rPr>
          <w:rFonts w:cs="Calibri"/>
        </w:rPr>
        <w:t xml:space="preserve"> </w:t>
      </w:r>
      <w:r>
        <w:rPr>
          <w:rFonts w:cs="Calibri"/>
          <w:b/>
          <w:bCs/>
        </w:rPr>
        <w:t>lub z</w:t>
      </w:r>
      <w:r>
        <w:rPr>
          <w:rFonts w:eastAsia="Times New Roman" w:cs="Calibri"/>
          <w:b/>
          <w:bCs/>
          <w:lang w:eastAsia="zh-CN"/>
        </w:rPr>
        <w:t xml:space="preserve">atoki dyskowe gotowe do zainstalowania </w:t>
      </w:r>
      <w:r>
        <w:rPr>
          <w:rFonts w:cs="Calibri"/>
          <w:b/>
          <w:bCs/>
        </w:rPr>
        <w:t>10</w:t>
      </w:r>
      <w:r>
        <w:rPr>
          <w:rFonts w:eastAsia="Times New Roman" w:cs="Calibri"/>
          <w:b/>
          <w:bCs/>
          <w:lang w:eastAsia="zh-CN"/>
        </w:rPr>
        <w:t xml:space="preserve"> dysków SFF typu Hot Swap SAS/SATA/SSD 2,5”</w:t>
      </w:r>
    </w:p>
    <w:p>
      <w:pPr>
        <w:pStyle w:val="Normal"/>
        <w:spacing w:lineRule="auto" w:line="276" w:before="0" w:after="0"/>
        <w:jc w:val="both"/>
        <w:rPr>
          <w:rFonts w:eastAsia="Calibri"/>
          <w:b/>
          <w:b/>
        </w:rPr>
      </w:pPr>
      <w:r>
        <w:rPr>
          <w:rFonts w:eastAsia="Calibri"/>
          <w:b/>
        </w:rPr>
      </w:r>
    </w:p>
    <w:p>
      <w:pPr>
        <w:pStyle w:val="Normal"/>
        <w:spacing w:lineRule="auto" w:line="276" w:before="240" w:after="120"/>
        <w:jc w:val="both"/>
        <w:rPr>
          <w:rFonts w:ascii="Calibri" w:hAnsi="Calibri" w:eastAsia="Calibri" w:cs="Times New Roman"/>
          <w:b/>
          <w:b/>
          <w:bCs/>
          <w:u w:val="single"/>
        </w:rPr>
      </w:pPr>
      <w:r>
        <w:rPr>
          <w:rFonts w:eastAsia="Calibri" w:cs="Times New Roman"/>
          <w:b/>
          <w:bCs/>
          <w:u w:val="single"/>
        </w:rPr>
        <w:t>Pytanie nr 3</w:t>
      </w:r>
    </w:p>
    <w:p>
      <w:pPr>
        <w:pStyle w:val="Normal"/>
        <w:spacing w:lineRule="auto" w:line="276" w:before="0" w:after="0"/>
        <w:rPr/>
      </w:pPr>
      <w:r>
        <w:rPr/>
        <w:t>Dotyczy: Załącznik nr 1A do SIWZ, rozdział II.1.1. – Serwer aplikacyjny, cecha 7 – konroler, pkt. 2, 3</w:t>
      </w:r>
    </w:p>
    <w:p>
      <w:pPr>
        <w:pStyle w:val="Normal"/>
        <w:spacing w:lineRule="auto" w:line="276" w:before="0" w:after="0"/>
        <w:rPr/>
      </w:pPr>
      <w:r>
        <w:rPr/>
        <w:t>Prosimy o informację czy wymagania SIWZ zostaną spełnione, jeżeli oferowany serwer będzie posiadał kontroler z 8GB pamięci cache czyli więcej niż Zamawiający obecnie wymaga, lecz bez opcji konfiguracji dysków w trybie JBOD?</w:t>
      </w:r>
    </w:p>
    <w:p>
      <w:pPr>
        <w:pStyle w:val="Normal"/>
        <w:spacing w:lineRule="auto" w:line="276" w:before="0" w:after="120"/>
        <w:jc w:val="both"/>
        <w:rPr>
          <w:rFonts w:ascii="Calibri" w:hAnsi="Calibri" w:eastAsia="Calibri" w:cs="Times New Roman"/>
          <w:b/>
          <w:b/>
          <w:bCs/>
          <w:u w:val="single"/>
        </w:rPr>
      </w:pPr>
      <w:r>
        <w:rPr>
          <w:rFonts w:eastAsia="Calibri" w:cs="Times New Roman"/>
          <w:b/>
          <w:bCs/>
          <w:u w:val="single"/>
        </w:rPr>
        <w:t>Odpowiedź nr 3</w:t>
      </w:r>
    </w:p>
    <w:p>
      <w:pPr>
        <w:pStyle w:val="Normal"/>
        <w:spacing w:lineRule="auto" w:line="276" w:before="0" w:after="0"/>
        <w:jc w:val="both"/>
        <w:rPr>
          <w:rFonts w:eastAsia="Calibri"/>
          <w:bCs/>
        </w:rPr>
      </w:pPr>
      <w:r>
        <w:rPr>
          <w:rFonts w:cs="Calibri"/>
          <w:bCs/>
        </w:rPr>
        <w:t xml:space="preserve">Zamawiający dopuszcza proponowane rozwiązanie i </w:t>
      </w:r>
      <w:r>
        <w:rPr>
          <w:rFonts w:eastAsia="Calibri"/>
          <w:bCs/>
        </w:rPr>
        <w:t xml:space="preserve">dokonuje zmiany zapisu SIWZ </w:t>
      </w:r>
      <w:r>
        <w:rPr>
          <w:rFonts w:eastAsia="Calibri"/>
          <w:b/>
        </w:rPr>
        <w:t xml:space="preserve">w Załączniku nr 1A – SOPZ Część 1, rozdział II ust. II.1.1 – Serwer aplikacyjny, pozycja 7, </w:t>
      </w:r>
      <w:r>
        <w:rPr>
          <w:rFonts w:eastAsia="Calibri"/>
          <w:bCs/>
        </w:rPr>
        <w:t>poprzez dodanie zapisu:</w:t>
      </w:r>
    </w:p>
    <w:tbl>
      <w:tblPr>
        <w:tblW w:w="9352" w:type="dxa"/>
        <w:jc w:val="center"/>
        <w:tblInd w:w="0" w:type="dxa"/>
        <w:tblCellMar>
          <w:top w:w="0" w:type="dxa"/>
          <w:left w:w="70" w:type="dxa"/>
          <w:bottom w:w="0" w:type="dxa"/>
          <w:right w:w="70" w:type="dxa"/>
        </w:tblCellMar>
        <w:tblLook w:firstRow="1" w:noVBand="1" w:lastRow="0" w:firstColumn="1" w:lastColumn="0" w:noHBand="0" w:val="04a0"/>
      </w:tblPr>
      <w:tblGrid>
        <w:gridCol w:w="2258"/>
        <w:gridCol w:w="7093"/>
      </w:tblGrid>
      <w:tr>
        <w:trPr/>
        <w:tc>
          <w:tcPr>
            <w:tcW w:w="2258"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360" w:before="0" w:after="160"/>
              <w:rPr>
                <w:rFonts w:ascii="Calibri" w:hAnsi="Calibri" w:cs="Calibri"/>
              </w:rPr>
            </w:pPr>
            <w:r>
              <w:rPr>
                <w:rFonts w:cs="Calibri"/>
              </w:rPr>
              <w:t>7. Kontroler</w:t>
            </w:r>
          </w:p>
        </w:tc>
        <w:tc>
          <w:tcPr>
            <w:tcW w:w="7093" w:type="dxa"/>
            <w:tcBorders>
              <w:top w:val="single" w:sz="4" w:space="0" w:color="00000A"/>
              <w:left w:val="single" w:sz="4" w:space="0" w:color="00000A"/>
              <w:bottom w:val="single" w:sz="4" w:space="0" w:color="00000A"/>
              <w:right w:val="single" w:sz="4" w:space="0" w:color="00000A"/>
            </w:tcBorders>
            <w:shd w:fill="auto" w:val="clear"/>
          </w:tcPr>
          <w:p>
            <w:pPr>
              <w:pStyle w:val="Normal"/>
              <w:numPr>
                <w:ilvl w:val="0"/>
                <w:numId w:val="1"/>
              </w:numPr>
              <w:spacing w:lineRule="auto" w:line="360" w:before="0" w:after="15"/>
              <w:ind w:left="720" w:right="38" w:hanging="360"/>
              <w:jc w:val="both"/>
              <w:rPr>
                <w:rFonts w:ascii="Calibri" w:hAnsi="Calibri" w:cs="Calibri"/>
              </w:rPr>
            </w:pPr>
            <w:r>
              <w:rPr>
                <w:rFonts w:cs="Calibri"/>
              </w:rPr>
              <w:t>(...)</w:t>
            </w:r>
          </w:p>
          <w:p>
            <w:pPr>
              <w:pStyle w:val="Normal"/>
              <w:numPr>
                <w:ilvl w:val="0"/>
                <w:numId w:val="1"/>
              </w:numPr>
              <w:spacing w:lineRule="auto" w:line="360" w:before="0" w:after="15"/>
              <w:ind w:left="720" w:right="38" w:hanging="360"/>
              <w:jc w:val="both"/>
              <w:rPr>
                <w:rFonts w:ascii="Calibri" w:hAnsi="Calibri" w:cs="Calibri"/>
              </w:rPr>
            </w:pPr>
            <w:r>
              <w:rPr>
                <w:rFonts w:cs="Calibri"/>
              </w:rPr>
              <w:t>Kontroler umożliwiający pracę z dyskami w trybach RAID i JBOD jednocześnie</w:t>
            </w:r>
          </w:p>
          <w:p>
            <w:pPr>
              <w:pStyle w:val="Normal"/>
              <w:numPr>
                <w:ilvl w:val="0"/>
                <w:numId w:val="1"/>
              </w:numPr>
              <w:spacing w:lineRule="auto" w:line="360" w:before="0" w:after="15"/>
              <w:ind w:left="720" w:right="38" w:hanging="360"/>
              <w:contextualSpacing/>
              <w:jc w:val="both"/>
              <w:rPr>
                <w:rFonts w:ascii="Calibri" w:hAnsi="Calibri" w:cs="Calibri"/>
              </w:rPr>
            </w:pPr>
            <w:r>
              <w:rPr>
                <w:rFonts w:cs="Calibri"/>
              </w:rPr>
              <w:t>Serwer umożliwiający rozbudowę o sprzętowy kontroler RAID zapewniający obsługę RAID 0/1/10/5/50/6/60 z 4GB pamięci cache z podtrzymywaniem bateryjnym.</w:t>
            </w:r>
          </w:p>
          <w:p>
            <w:pPr>
              <w:pStyle w:val="Normal"/>
              <w:spacing w:lineRule="auto" w:line="360" w:before="0" w:after="15"/>
              <w:ind w:right="38" w:hanging="0"/>
              <w:contextualSpacing/>
              <w:jc w:val="both"/>
              <w:rPr>
                <w:rFonts w:ascii="Calibri" w:hAnsi="Calibri" w:cs="Calibri"/>
                <w:b/>
                <w:b/>
                <w:bCs/>
                <w:i/>
                <w:i/>
                <w:iCs/>
              </w:rPr>
            </w:pPr>
            <w:r>
              <w:rPr>
                <w:rFonts w:cs="Calibri"/>
                <w:b/>
                <w:bCs/>
                <w:i/>
                <w:iCs/>
              </w:rPr>
              <w:t>Zamawiający dopuszcza serwer umożliwiający rozbudowę o sprzętowy kontroler RAID zapewniający obsługę RAID 0/1/10/5/50/6/60 z 8GB pamięci cache z podtrzymywaniem bateryjnym i bez opcji konfiguracji dysków w trybie JBOD</w:t>
            </w:r>
          </w:p>
        </w:tc>
      </w:tr>
    </w:tbl>
    <w:p>
      <w:pPr>
        <w:pStyle w:val="Normal"/>
        <w:spacing w:lineRule="auto" w:line="276" w:before="240" w:after="120"/>
        <w:jc w:val="both"/>
        <w:rPr>
          <w:rFonts w:ascii="Calibri" w:hAnsi="Calibri" w:eastAsia="Calibri" w:cs="Times New Roman"/>
          <w:b/>
          <w:b/>
          <w:bCs/>
          <w:u w:val="single"/>
        </w:rPr>
      </w:pPr>
      <w:r>
        <w:rPr>
          <w:rFonts w:eastAsia="Calibri" w:cs="Times New Roman"/>
          <w:b/>
          <w:bCs/>
          <w:u w:val="single"/>
        </w:rPr>
        <w:t>Pytanie nr 4</w:t>
      </w:r>
    </w:p>
    <w:p>
      <w:pPr>
        <w:pStyle w:val="Normal"/>
        <w:spacing w:lineRule="auto" w:line="276" w:before="0" w:after="0"/>
        <w:rPr/>
      </w:pPr>
      <w:r>
        <w:rPr/>
        <w:t>Dotyczy: Załącznik nr 1A do SIWZ, rozdział II.1.1. – Serwer aplikacyjny, cecha 13 – chłodzenie, pkt. 2</w:t>
      </w:r>
    </w:p>
    <w:p>
      <w:pPr>
        <w:pStyle w:val="Normal"/>
        <w:spacing w:lineRule="auto" w:line="276" w:before="0" w:after="0"/>
        <w:rPr/>
      </w:pPr>
      <w:r>
        <w:rPr/>
        <w:t>Wskazujemy, iż standard ASHRAE Class A4 jest dedykowany dla konkretnego Vendora (HPE), w związku z czym jest to istotne ograniczenie uczciwej konkurencji. Zwracamy się z prośbą, aby uznać jako rozwiązanie równoważne oparcie się o standard FreshAir.</w:t>
      </w:r>
    </w:p>
    <w:p>
      <w:pPr>
        <w:pStyle w:val="Normal"/>
        <w:spacing w:lineRule="auto" w:line="259" w:before="120" w:after="120"/>
        <w:jc w:val="both"/>
        <w:rPr>
          <w:rFonts w:ascii="Calibri" w:hAnsi="Calibri" w:eastAsia="Calibri" w:cs="Times New Roman"/>
          <w:b/>
          <w:b/>
          <w:bCs/>
          <w:u w:val="single"/>
        </w:rPr>
      </w:pPr>
      <w:r>
        <w:rPr>
          <w:rFonts w:eastAsia="Calibri" w:cs="Times New Roman"/>
          <w:b/>
          <w:bCs/>
          <w:u w:val="single"/>
        </w:rPr>
        <w:t>Odpowiedź nr 4</w:t>
      </w:r>
    </w:p>
    <w:p>
      <w:pPr>
        <w:pStyle w:val="Normal"/>
        <w:spacing w:lineRule="auto" w:line="276" w:before="0" w:after="120"/>
        <w:rPr/>
      </w:pPr>
      <w:r>
        <w:rPr/>
        <w:t xml:space="preserve">Z posiadanej przez Zamawiającego wiedzy wynika, że ASHRAE jest niezależnym stowarzyszeniem wyznaczającym standardy m.in. w zakresie wentylacji i chłodnictwa. Zamawiający rozumie standard ASHRAE Class A4 jako opisujący możliwość pracy urządzenia w zakresie temperatur 5 – 45 stopni Celsjusza oraz wilgotności względnej w przedziale 8% do 90%. Jeżeli standard Fresh Air dopuszcza takie warunki pracy urządzenia, to zamawiający uzna te rozwiązanie za równoważne. </w:t>
      </w:r>
    </w:p>
    <w:p>
      <w:pPr>
        <w:pStyle w:val="Normal"/>
        <w:spacing w:lineRule="auto" w:line="276"/>
        <w:jc w:val="both"/>
        <w:rPr>
          <w:rFonts w:eastAsia="Calibri"/>
          <w:bCs/>
        </w:rPr>
      </w:pPr>
      <w:r>
        <w:rPr>
          <w:rFonts w:cs="Calibri"/>
          <w:bCs/>
        </w:rPr>
        <w:t xml:space="preserve">W związku z powyższym </w:t>
      </w:r>
      <w:r>
        <w:rPr>
          <w:rFonts w:eastAsia="Calibri" w:cs="Times New Roman"/>
        </w:rPr>
        <w:t xml:space="preserve">Zamawiający </w:t>
      </w:r>
      <w:r>
        <w:rPr>
          <w:rFonts w:eastAsia="Calibri"/>
          <w:bCs/>
        </w:rPr>
        <w:t xml:space="preserve">dokonuje zmiany zapisu SIWZ </w:t>
      </w:r>
      <w:r>
        <w:rPr>
          <w:rFonts w:eastAsia="Calibri"/>
          <w:b/>
        </w:rPr>
        <w:t>w Załączniku nr 1A – SOPZ Część 1, rozdział II ust. II.1.1 – Serwer aplikacyjny, pozycja 13 pkt 2</w:t>
      </w:r>
      <w:r>
        <w:rPr>
          <w:rFonts w:eastAsia="Calibri"/>
          <w:bCs/>
        </w:rPr>
        <w:t>, który otrzymuje brzmienie:</w:t>
      </w:r>
    </w:p>
    <w:p>
      <w:pPr>
        <w:pStyle w:val="Normal"/>
        <w:spacing w:lineRule="auto" w:line="276"/>
        <w:jc w:val="both"/>
        <w:rPr>
          <w:rFonts w:eastAsia="Calibri"/>
          <w:b/>
          <w:b/>
        </w:rPr>
      </w:pPr>
      <w:r>
        <w:rPr>
          <w:rFonts w:eastAsia="Times New Roman" w:cs="Calibri"/>
          <w:lang w:eastAsia="zh-CN"/>
        </w:rPr>
        <w:t>„</w:t>
      </w:r>
      <w:r>
        <w:rPr>
          <w:rFonts w:eastAsia="Times New Roman" w:cs="Calibri"/>
          <w:lang w:eastAsia="zh-CN"/>
        </w:rPr>
        <w:t xml:space="preserve">Możliwość skonfigurowania serwera do pracy w temperaturze otoczenia równej 45st.C, tak, żeby zapewnić zgodność ze standardem ASHRAE Class A4 </w:t>
      </w:r>
      <w:r>
        <w:rPr>
          <w:rFonts w:eastAsia="Times New Roman" w:cs="Calibri"/>
          <w:b/>
          <w:bCs/>
          <w:lang w:eastAsia="zh-CN"/>
        </w:rPr>
        <w:t xml:space="preserve">lub równoznaczny, tj. </w:t>
      </w:r>
      <w:r>
        <w:rPr>
          <w:b/>
          <w:bCs/>
        </w:rPr>
        <w:t>opisujący możliwość pracy urządzenia w zakresie temperatur 5 – 45 stopni Celsjusza oraz wilgotności względnej w przedziale 8% do 90%”</w:t>
      </w:r>
    </w:p>
    <w:p>
      <w:pPr>
        <w:pStyle w:val="Normal"/>
        <w:spacing w:lineRule="auto" w:line="276" w:before="240" w:after="120"/>
        <w:jc w:val="both"/>
        <w:rPr>
          <w:rFonts w:ascii="Calibri" w:hAnsi="Calibri" w:eastAsia="Calibri" w:cs="Times New Roman"/>
          <w:b/>
          <w:b/>
          <w:bCs/>
          <w:u w:val="single"/>
        </w:rPr>
      </w:pPr>
      <w:r>
        <w:rPr>
          <w:rFonts w:eastAsia="Calibri" w:cs="Times New Roman"/>
          <w:b/>
          <w:bCs/>
          <w:u w:val="single"/>
        </w:rPr>
        <w:t>Pytanie nr 5</w:t>
      </w:r>
    </w:p>
    <w:p>
      <w:pPr>
        <w:pStyle w:val="Normal"/>
        <w:spacing w:lineRule="auto" w:line="276" w:before="0" w:after="0"/>
        <w:rPr/>
      </w:pPr>
      <w:r>
        <w:rPr/>
        <w:t>Dotyczy: Załącznik nr 1A do SIWZ, rozdział II.1.1. – Serwer aplikacyjny, cecha 14 – Napęd</w:t>
      </w:r>
    </w:p>
    <w:p>
      <w:pPr>
        <w:pStyle w:val="Normal"/>
        <w:spacing w:lineRule="auto" w:line="276" w:before="0" w:after="0"/>
        <w:rPr/>
      </w:pPr>
      <w:r>
        <w:rPr/>
        <w:t xml:space="preserve">Czy w przypadku wymagania obudowy na 10 dysków, Zamawiający dopuszcza możliwość, aby napęd DVD-ROM lub DVD-RW, był napędem zewnętrznym – podpinanym przez złącze USB? </w:t>
      </w:r>
    </w:p>
    <w:p>
      <w:pPr>
        <w:pStyle w:val="Normal"/>
        <w:spacing w:lineRule="auto" w:line="259" w:before="120" w:after="120"/>
        <w:jc w:val="both"/>
        <w:rPr>
          <w:rFonts w:ascii="Calibri" w:hAnsi="Calibri" w:eastAsia="Calibri" w:cs="Times New Roman"/>
        </w:rPr>
      </w:pPr>
      <w:r>
        <w:rPr>
          <w:rFonts w:eastAsia="Calibri" w:cs="Times New Roman"/>
          <w:b/>
          <w:bCs/>
          <w:u w:val="single"/>
        </w:rPr>
        <w:t>Odpowiedź nr 5</w:t>
      </w:r>
    </w:p>
    <w:p>
      <w:pPr>
        <w:pStyle w:val="Normal"/>
        <w:spacing w:lineRule="auto" w:line="276"/>
        <w:jc w:val="both"/>
        <w:rPr>
          <w:rFonts w:eastAsia="Calibri"/>
          <w:b/>
          <w:b/>
        </w:rPr>
      </w:pPr>
      <w:r>
        <w:rPr/>
        <w:t xml:space="preserve">Zamawiający </w:t>
      </w:r>
      <w:r>
        <w:rPr>
          <w:rFonts w:eastAsia="Calibri"/>
          <w:bCs/>
        </w:rPr>
        <w:t>podtrzymuje zapisy SIWZ.</w:t>
      </w:r>
    </w:p>
    <w:p>
      <w:pPr>
        <w:pStyle w:val="Normal"/>
        <w:spacing w:lineRule="auto" w:line="276" w:before="240" w:after="120"/>
        <w:jc w:val="both"/>
        <w:rPr>
          <w:rFonts w:ascii="Calibri" w:hAnsi="Calibri" w:eastAsia="Calibri" w:cs="Times New Roman"/>
          <w:b/>
          <w:b/>
          <w:bCs/>
          <w:u w:val="single"/>
        </w:rPr>
      </w:pPr>
      <w:r>
        <w:rPr>
          <w:rFonts w:eastAsia="Calibri" w:cs="Times New Roman"/>
          <w:b/>
          <w:bCs/>
          <w:u w:val="single"/>
        </w:rPr>
        <w:t>Pytanie nr 6</w:t>
      </w:r>
    </w:p>
    <w:p>
      <w:pPr>
        <w:pStyle w:val="Normal"/>
        <w:spacing w:lineRule="auto" w:line="276" w:before="0" w:after="0"/>
        <w:rPr/>
      </w:pPr>
      <w:r>
        <w:rPr/>
        <w:t>Dotyczy: Załącznik nr 1A do SIWZ, rozdział II.1.1. – Serwer aplikacyjny, cecha 15 – Karta/Moduł zarządzający</w:t>
      </w:r>
    </w:p>
    <w:p>
      <w:pPr>
        <w:pStyle w:val="Normal"/>
        <w:spacing w:lineRule="auto" w:line="276" w:before="0" w:after="0"/>
        <w:rPr>
          <w:color w:val="000000" w:themeColor="text1"/>
        </w:rPr>
      </w:pPr>
      <w:r>
        <w:rPr/>
        <w:t xml:space="preserve">Zwracamy się z prośbą o informację czy wymagania SIWZ zostaną spełnione, jeżeli oferowany sprzęt będzie posiadał możliwość nagrywania ostatniej awarii, lecz bez możliwości nagrywania startu oraz nagrywania na żądanie. Zwracamy uwagę, że możliwość nagrywania startu oraz nagrywania na żądanie jest rozwiązaniem, które w żadnym stopniu nie wpływa na funkcjonalność serwera. </w:t>
      </w:r>
      <w:r>
        <w:rPr>
          <w:color w:val="000000" w:themeColor="text1"/>
        </w:rPr>
        <w:t xml:space="preserve">Jest również znaczącym ograniczeniem uczciwej konkurencji. </w:t>
      </w:r>
    </w:p>
    <w:p>
      <w:pPr>
        <w:pStyle w:val="Normal"/>
        <w:spacing w:lineRule="auto" w:line="259" w:before="120" w:after="120"/>
        <w:jc w:val="both"/>
        <w:rPr>
          <w:rFonts w:ascii="Calibri" w:hAnsi="Calibri" w:eastAsia="Calibri" w:cs="Times New Roman"/>
        </w:rPr>
      </w:pPr>
      <w:r>
        <w:rPr>
          <w:rFonts w:eastAsia="Calibri" w:cs="Times New Roman"/>
          <w:b/>
          <w:bCs/>
          <w:u w:val="single"/>
        </w:rPr>
        <w:t>Odpowiedź nr 6</w:t>
      </w:r>
    </w:p>
    <w:p>
      <w:pPr>
        <w:pStyle w:val="Normal"/>
        <w:spacing w:lineRule="auto" w:line="276" w:before="0" w:after="0"/>
        <w:rPr/>
      </w:pPr>
      <w:r>
        <w:rPr/>
        <w:t xml:space="preserve">Zamawiający podtrzymuje zapisy SIWZ. Możliwość nagrywania sesji video na żądanie jest oczekiwana przez Zamawiającego do celów instruktażowych oraz dokumentowania niewłaściwego działania serwera (cele serwisowe) dla przypadków, w których nie występuje awaria powodująca całkowite przerwanie pracy serwera. Z posiadanej przez Zamawiającego wiedzy wynika, że takie rozwiązanie oferuje na rynku kilku producentów serwerów. </w:t>
      </w:r>
    </w:p>
    <w:p>
      <w:pPr>
        <w:pStyle w:val="Normal"/>
        <w:spacing w:lineRule="auto" w:line="276" w:before="240" w:after="120"/>
        <w:jc w:val="both"/>
        <w:rPr>
          <w:rFonts w:ascii="Calibri" w:hAnsi="Calibri" w:eastAsia="Calibri" w:cs="Times New Roman"/>
          <w:b/>
          <w:b/>
          <w:bCs/>
          <w:u w:val="single"/>
        </w:rPr>
      </w:pPr>
      <w:r>
        <w:rPr>
          <w:rFonts w:eastAsia="Calibri" w:cs="Times New Roman"/>
          <w:b/>
          <w:bCs/>
          <w:u w:val="single"/>
        </w:rPr>
        <w:t>Pytanie nr 7</w:t>
      </w:r>
    </w:p>
    <w:p>
      <w:pPr>
        <w:pStyle w:val="Normal"/>
        <w:spacing w:lineRule="auto" w:line="276" w:before="0" w:after="0"/>
        <w:rPr/>
      </w:pPr>
      <w:r>
        <w:rPr/>
        <w:t>Dotyczy: Załącznik nr 1A do SIWZ, rozdział II.1.1. – Serwer aplikacyjny, cecha 15 – Karta/Moduł zarządzający</w:t>
      </w:r>
    </w:p>
    <w:p>
      <w:pPr>
        <w:pStyle w:val="Normal"/>
        <w:spacing w:lineRule="auto" w:line="276" w:before="0" w:after="0"/>
        <w:rPr/>
      </w:pPr>
      <w:r>
        <w:rPr/>
        <w:t>Wskazujemy, iż standard AES/ 3DES jest używany przez konkretnego Vendora (HPE), w związku z tym prosimy o wyjaśnienie czy zastosowanie równoważnego standardu szyfrowania TLS zostanie uznane za spełniające wymagania z SIWZ.</w:t>
      </w:r>
    </w:p>
    <w:p>
      <w:pPr>
        <w:pStyle w:val="Normal"/>
        <w:spacing w:lineRule="auto" w:line="259" w:before="120" w:after="120"/>
        <w:jc w:val="both"/>
        <w:rPr>
          <w:rFonts w:ascii="Calibri" w:hAnsi="Calibri" w:eastAsia="Calibri" w:cs="Times New Roman"/>
        </w:rPr>
      </w:pPr>
      <w:r>
        <w:rPr>
          <w:rFonts w:eastAsia="Calibri" w:cs="Times New Roman"/>
          <w:b/>
          <w:bCs/>
          <w:u w:val="single"/>
        </w:rPr>
        <w:t>Odpowiedź nr 7</w:t>
      </w:r>
    </w:p>
    <w:p>
      <w:pPr>
        <w:pStyle w:val="Normal"/>
        <w:spacing w:lineRule="auto" w:line="276"/>
        <w:jc w:val="both"/>
        <w:rPr>
          <w:rFonts w:eastAsia="Calibri"/>
          <w:bCs/>
        </w:rPr>
      </w:pPr>
      <w:r>
        <w:rPr>
          <w:rFonts w:eastAsia="Calibri" w:cs="Times New Roman"/>
        </w:rPr>
        <w:t xml:space="preserve">Zamawiający </w:t>
      </w:r>
      <w:r>
        <w:rPr>
          <w:rFonts w:eastAsia="Calibri"/>
          <w:bCs/>
        </w:rPr>
        <w:t xml:space="preserve">dokonuje zmiany zapisu SIWZ </w:t>
      </w:r>
      <w:r>
        <w:rPr>
          <w:rFonts w:eastAsia="Calibri"/>
          <w:b/>
        </w:rPr>
        <w:t>w Załączniku nr 1A – SOPZ Część 1, rozdział II ust. II.1.1 – Serwer aplikacyjny, pozycja 15 pkt 1 wiersz 20</w:t>
      </w:r>
      <w:r>
        <w:rPr>
          <w:rFonts w:eastAsia="Calibri"/>
          <w:bCs/>
        </w:rPr>
        <w:t>, który otrzymuje brzmienie:</w:t>
      </w:r>
    </w:p>
    <w:p>
      <w:pPr>
        <w:pStyle w:val="Normal"/>
        <w:spacing w:lineRule="auto" w:line="240"/>
        <w:jc w:val="both"/>
        <w:rPr>
          <w:rFonts w:eastAsia="Calibri"/>
          <w:bCs/>
        </w:rPr>
      </w:pPr>
      <w:r>
        <w:rPr>
          <w:rFonts w:eastAsia="Calibri"/>
          <w:bCs/>
        </w:rPr>
        <w:t>„</w:t>
      </w:r>
      <w:r>
        <w:rPr>
          <w:rFonts w:eastAsia="Calibri"/>
          <w:bCs/>
        </w:rPr>
        <w:t>(...)</w:t>
      </w:r>
    </w:p>
    <w:p>
      <w:pPr>
        <w:pStyle w:val="Normal"/>
        <w:numPr>
          <w:ilvl w:val="0"/>
          <w:numId w:val="2"/>
        </w:numPr>
        <w:spacing w:lineRule="auto" w:line="240" w:before="0" w:after="0"/>
        <w:ind w:left="720" w:hanging="360"/>
        <w:contextualSpacing/>
        <w:jc w:val="both"/>
        <w:rPr>
          <w:rFonts w:ascii="Calibri" w:hAnsi="Calibri" w:cs="Calibri"/>
        </w:rPr>
      </w:pPr>
      <w:r>
        <w:rPr>
          <w:rFonts w:cs="Calibri"/>
        </w:rPr>
        <w:t xml:space="preserve">enkrypcja AES/3DES </w:t>
      </w:r>
      <w:r>
        <w:rPr>
          <w:rFonts w:cs="Calibri"/>
          <w:b/>
          <w:bCs/>
        </w:rPr>
        <w:t>lub TLS w wersji minimum 1.2</w:t>
      </w:r>
    </w:p>
    <w:p>
      <w:pPr>
        <w:pStyle w:val="Normal"/>
        <w:spacing w:lineRule="auto" w:line="240" w:before="0" w:after="0"/>
        <w:contextualSpacing/>
        <w:jc w:val="both"/>
        <w:rPr>
          <w:rFonts w:ascii="Calibri" w:hAnsi="Calibri" w:cs="Calibri"/>
        </w:rPr>
      </w:pPr>
      <w:r>
        <w:rPr>
          <w:rFonts w:cs="Calibri"/>
        </w:rPr>
        <w:t>(...)”</w:t>
      </w:r>
    </w:p>
    <w:p>
      <w:pPr>
        <w:pStyle w:val="Normal"/>
        <w:spacing w:lineRule="auto" w:line="276" w:before="240" w:after="120"/>
        <w:jc w:val="both"/>
        <w:rPr>
          <w:rFonts w:ascii="Calibri" w:hAnsi="Calibri" w:eastAsia="Calibri" w:cs="Times New Roman"/>
          <w:b/>
          <w:b/>
          <w:bCs/>
          <w:u w:val="single"/>
        </w:rPr>
      </w:pPr>
      <w:r>
        <w:rPr>
          <w:rFonts w:eastAsia="Calibri" w:cs="Times New Roman"/>
          <w:b/>
          <w:bCs/>
          <w:u w:val="single"/>
        </w:rPr>
        <w:t>Pytanie nr 8</w:t>
      </w:r>
    </w:p>
    <w:p>
      <w:pPr>
        <w:pStyle w:val="Normal"/>
        <w:spacing w:lineRule="auto" w:line="276" w:before="0" w:after="0"/>
        <w:rPr/>
      </w:pPr>
      <w:r>
        <w:rPr/>
        <w:t>Dotyczy: Załącznik nr 1A do SIWZ, rozdział II.1.2. – Serwer do kopii, cecha 5 – sloty rozszerzeń, pkt. 1,2.</w:t>
      </w:r>
    </w:p>
    <w:p>
      <w:pPr>
        <w:pStyle w:val="Normal"/>
        <w:spacing w:lineRule="auto" w:line="276" w:before="0" w:after="0"/>
        <w:rPr/>
      </w:pPr>
      <w:r>
        <w:rPr/>
        <w:t>Czy wymagania SIWZ zostaną spełnione, jeżeli serwer będzie posiadał 4 sloty PCIe x8? Wskazujemy, iż w tym wypadku serwer będzie posiadał możliwość rozbudowy do 6 slotów PCIe x8 oraz 2 slotów PCIe x16.</w:t>
      </w:r>
    </w:p>
    <w:p>
      <w:pPr>
        <w:pStyle w:val="Normal"/>
        <w:spacing w:lineRule="auto" w:line="259" w:before="120" w:after="120"/>
        <w:jc w:val="both"/>
        <w:rPr>
          <w:rFonts w:ascii="Calibri" w:hAnsi="Calibri" w:eastAsia="Calibri" w:cs="Times New Roman"/>
        </w:rPr>
      </w:pPr>
      <w:r>
        <w:rPr>
          <w:rFonts w:eastAsia="Calibri" w:cs="Times New Roman"/>
          <w:b/>
          <w:bCs/>
          <w:u w:val="single"/>
        </w:rPr>
        <w:t>Odpowiedź nr 8</w:t>
      </w:r>
    </w:p>
    <w:p>
      <w:pPr>
        <w:pStyle w:val="Normal"/>
        <w:spacing w:lineRule="auto" w:line="240" w:before="0" w:after="0"/>
        <w:rPr>
          <w:bCs/>
        </w:rPr>
      </w:pPr>
      <w:r>
        <w:rPr/>
        <w:t xml:space="preserve">Zamawiający podtrzymuje zapisy SIWZ. </w:t>
      </w:r>
    </w:p>
    <w:p>
      <w:pPr>
        <w:pStyle w:val="Normal"/>
        <w:spacing w:lineRule="auto" w:line="276" w:before="240" w:after="120"/>
        <w:jc w:val="both"/>
        <w:rPr>
          <w:rFonts w:ascii="Calibri" w:hAnsi="Calibri" w:eastAsia="Calibri" w:cs="Times New Roman"/>
          <w:b/>
          <w:b/>
          <w:u w:val="single"/>
        </w:rPr>
      </w:pPr>
      <w:r>
        <w:rPr>
          <w:rFonts w:eastAsia="Calibri" w:cs="Times New Roman"/>
          <w:b/>
          <w:u w:val="single"/>
        </w:rPr>
        <w:t>Pytanie nr 9</w:t>
      </w:r>
    </w:p>
    <w:p>
      <w:pPr>
        <w:pStyle w:val="Normal"/>
        <w:spacing w:lineRule="auto" w:line="276" w:before="0" w:after="0"/>
        <w:rPr/>
      </w:pPr>
      <w:r>
        <w:rPr/>
        <w:t>Dotyczy: Załącznik nr 1A do SIWZ, rozdział II.1.2. – Serwer do kopii, cecha 6 – dysk twardy, pkt. 1</w:t>
      </w:r>
    </w:p>
    <w:p>
      <w:pPr>
        <w:pStyle w:val="Normal"/>
        <w:spacing w:lineRule="auto" w:line="276" w:before="0" w:after="0"/>
        <w:rPr/>
      </w:pPr>
      <w:r>
        <w:rPr/>
        <w:t>Czy wymagania SIWZ zostaną spełnione, jeżeli oferowany sprzęt będzie posiadał zatoki dyskowe gotowe do zainstalowania 16 dysków LFF typu Hot Swap, SAS/SATA/SSD, 3,5’’, lecz bez opcji rozbudowy/rekonfiguracji serwera o dodatkowe 4 dyski?</w:t>
      </w:r>
    </w:p>
    <w:p>
      <w:pPr>
        <w:pStyle w:val="Normal"/>
        <w:spacing w:lineRule="auto" w:line="259" w:before="120" w:after="120"/>
        <w:jc w:val="both"/>
        <w:rPr>
          <w:rFonts w:ascii="Calibri" w:hAnsi="Calibri" w:eastAsia="Calibri" w:cs="Times New Roman"/>
        </w:rPr>
      </w:pPr>
      <w:r>
        <w:rPr>
          <w:rFonts w:eastAsia="Calibri" w:cs="Times New Roman"/>
          <w:b/>
          <w:bCs/>
          <w:u w:val="single"/>
        </w:rPr>
        <w:t>Odpowiedź nr 9</w:t>
      </w:r>
    </w:p>
    <w:p>
      <w:pPr>
        <w:pStyle w:val="Normal"/>
        <w:spacing w:lineRule="auto" w:line="276" w:before="0" w:after="120"/>
        <w:jc w:val="both"/>
        <w:rPr>
          <w:rFonts w:eastAsia="Calibri"/>
          <w:b/>
          <w:b/>
        </w:rPr>
      </w:pPr>
      <w:r>
        <w:rPr>
          <w:rFonts w:cs="Calibri"/>
          <w:bCs/>
        </w:rPr>
        <w:t xml:space="preserve">Zamawiający dopuszcza proponowane rozwiązanie i </w:t>
      </w:r>
      <w:r>
        <w:rPr>
          <w:rFonts w:eastAsia="Calibri"/>
          <w:bCs/>
        </w:rPr>
        <w:t xml:space="preserve">dokonuje zmiany zapisu SIWZ </w:t>
      </w:r>
      <w:r>
        <w:rPr>
          <w:rFonts w:eastAsia="Calibri"/>
          <w:b/>
        </w:rPr>
        <w:t>w Załączniku nr 1A – SOPZ Część 1, rozdział II ust. II.1.2 – Serwer do kopii (backup), pozycja 6 pkt 1, który otrzymuje brzmienie:</w:t>
      </w:r>
    </w:p>
    <w:p>
      <w:pPr>
        <w:pStyle w:val="Normal"/>
        <w:spacing w:lineRule="auto" w:line="276" w:before="0" w:after="15"/>
        <w:ind w:right="38" w:hanging="0"/>
        <w:jc w:val="both"/>
        <w:rPr>
          <w:rFonts w:ascii="Calibri" w:hAnsi="Calibri" w:cs="Calibri"/>
        </w:rPr>
      </w:pPr>
      <w:r>
        <w:rPr>
          <w:rFonts w:eastAsia="Calibri"/>
          <w:b/>
        </w:rPr>
        <w:t>„</w:t>
      </w:r>
      <w:r>
        <w:rPr>
          <w:rFonts w:cs="Calibri"/>
        </w:rPr>
        <w:t>Zatoki dyskowe gotowe do zainstalowania 12 dysków LFF typu Hot Swap, SAS/SATA/SSD, 3,5” i opcja rozbudowy/rekonfiguracji serwera o dodatkowe 4 dyski typu Hot Swap, SAS/SATA/SSD</w:t>
      </w:r>
      <w:r>
        <w:rPr>
          <w:rFonts w:cs="Calibri"/>
          <w:b/>
          <w:bCs/>
        </w:rPr>
        <w:t xml:space="preserve"> lub zatoki dyskowe gotowe do zainstalowania 16 dysków LFF typu Hot Swap, SAS/SATA/SSD, 3,5”.</w:t>
      </w:r>
      <w:r>
        <w:rPr>
          <w:rFonts w:cs="Calibri"/>
        </w:rPr>
        <w:t>”</w:t>
      </w:r>
    </w:p>
    <w:p>
      <w:pPr>
        <w:pStyle w:val="Normal"/>
        <w:spacing w:lineRule="auto" w:line="276" w:before="240" w:after="120"/>
        <w:jc w:val="both"/>
        <w:rPr>
          <w:rFonts w:ascii="Calibri" w:hAnsi="Calibri" w:eastAsia="Calibri" w:cs="Times New Roman"/>
          <w:b/>
          <w:b/>
          <w:bCs/>
          <w:u w:val="single"/>
        </w:rPr>
      </w:pPr>
      <w:r>
        <w:rPr>
          <w:rFonts w:eastAsia="Calibri" w:cs="Times New Roman"/>
          <w:b/>
          <w:bCs/>
          <w:u w:val="single"/>
        </w:rPr>
        <w:t>Pytanie nr 10</w:t>
      </w:r>
    </w:p>
    <w:p>
      <w:pPr>
        <w:pStyle w:val="Normal"/>
        <w:spacing w:lineRule="auto" w:line="276" w:before="0" w:after="0"/>
        <w:rPr>
          <w:color w:val="000000" w:themeColor="text1"/>
        </w:rPr>
      </w:pPr>
      <w:r>
        <w:rPr>
          <w:color w:val="000000" w:themeColor="text1"/>
        </w:rPr>
        <w:t>Dotyczy: Załącznik nr 1A do SIWZ, rozdział II.1.2. – Serwer do kopii, cecha 7 – kontroler</w:t>
      </w:r>
    </w:p>
    <w:p>
      <w:pPr>
        <w:pStyle w:val="Normal"/>
        <w:spacing w:lineRule="auto" w:line="276" w:before="0" w:after="0"/>
        <w:jc w:val="both"/>
        <w:rPr>
          <w:color w:val="000000" w:themeColor="text1"/>
        </w:rPr>
      </w:pPr>
      <w:r>
        <w:rPr/>
        <w:t xml:space="preserve">Czy wymagania SIWZ zostaną spełnione, jeżeli </w:t>
      </w:r>
      <w:r>
        <w:rPr>
          <w:color w:val="000000" w:themeColor="text1"/>
        </w:rPr>
        <w:t xml:space="preserve">kontroler będzie miał opcję pracy w trybie JBOD w przypadku instalacji dodatkowego oprogramowania SDS – Software Defined Storage? </w:t>
      </w:r>
    </w:p>
    <w:p>
      <w:pPr>
        <w:pStyle w:val="Normal"/>
        <w:spacing w:lineRule="auto" w:line="259" w:before="120" w:after="120"/>
        <w:jc w:val="both"/>
        <w:rPr>
          <w:rFonts w:ascii="Calibri" w:hAnsi="Calibri" w:eastAsia="Calibri" w:cs="Times New Roman"/>
        </w:rPr>
      </w:pPr>
      <w:r>
        <w:rPr>
          <w:rFonts w:eastAsia="Calibri" w:cs="Times New Roman"/>
          <w:b/>
          <w:bCs/>
          <w:u w:val="single"/>
        </w:rPr>
        <w:t>Odpowiedź nr 10</w:t>
      </w:r>
    </w:p>
    <w:p>
      <w:pPr>
        <w:pStyle w:val="Normal"/>
        <w:spacing w:lineRule="auto" w:line="276" w:before="0" w:after="0"/>
        <w:jc w:val="both"/>
        <w:rPr>
          <w:bCs/>
        </w:rPr>
      </w:pPr>
      <w:r>
        <w:rPr>
          <w:rFonts w:cs="Calibri"/>
          <w:bCs/>
        </w:rPr>
        <w:t>Zamawiający wyjaśnia, że wymaganie dotyczące pracy kontrolera w trybie JBOD nie precyzuje w jaki sposób ma zostać osiągnięty, a jedynie możliwość pracy kontrolera z dyskami w trybach RAID i JBOB jednocześnie.</w:t>
      </w:r>
    </w:p>
    <w:p>
      <w:pPr>
        <w:pStyle w:val="Normal"/>
        <w:spacing w:lineRule="auto" w:line="276" w:before="240" w:after="120"/>
        <w:jc w:val="both"/>
        <w:rPr>
          <w:rFonts w:ascii="Calibri" w:hAnsi="Calibri" w:eastAsia="Calibri" w:cs="Times New Roman"/>
          <w:b/>
          <w:b/>
          <w:bCs/>
          <w:u w:val="single"/>
        </w:rPr>
      </w:pPr>
      <w:r>
        <w:rPr>
          <w:rFonts w:eastAsia="Calibri" w:cs="Times New Roman"/>
          <w:b/>
          <w:bCs/>
          <w:u w:val="single"/>
        </w:rPr>
        <w:t xml:space="preserve">Pytanie nr 11 </w:t>
      </w:r>
    </w:p>
    <w:p>
      <w:pPr>
        <w:pStyle w:val="Normal"/>
        <w:spacing w:lineRule="auto" w:line="276" w:before="0" w:after="0"/>
        <w:rPr/>
      </w:pPr>
      <w:r>
        <w:rPr/>
        <w:t>Dotyczy: Załącznik nr 1A do SIWZ, rozdział II.1.2. – Serwer do kopii, cecha 13 – zasilacz</w:t>
      </w:r>
    </w:p>
    <w:p>
      <w:pPr>
        <w:pStyle w:val="Normal"/>
        <w:spacing w:lineRule="auto" w:line="276" w:before="0" w:after="0"/>
        <w:rPr/>
      </w:pPr>
      <w:r>
        <w:rPr/>
        <w:t xml:space="preserve">Czy Zamawiający dopuszcza możliwość, aby oferowany serwer posiadał 2 szt. Zasilaczy min 750W? Zwracamy uwagę, że takie zasilacze w pełni obsłużą skonfigurowany serwer. </w:t>
      </w:r>
    </w:p>
    <w:p>
      <w:pPr>
        <w:pStyle w:val="Normal"/>
        <w:spacing w:lineRule="auto" w:line="259" w:before="120" w:after="120"/>
        <w:jc w:val="both"/>
        <w:rPr>
          <w:rFonts w:ascii="Calibri" w:hAnsi="Calibri" w:eastAsia="Calibri" w:cs="Times New Roman"/>
        </w:rPr>
      </w:pPr>
      <w:r>
        <w:rPr>
          <w:rFonts w:eastAsia="Calibri" w:cs="Times New Roman"/>
          <w:b/>
          <w:bCs/>
          <w:u w:val="single"/>
        </w:rPr>
        <w:t>Odpowiedź nr 11</w:t>
      </w:r>
    </w:p>
    <w:p>
      <w:pPr>
        <w:pStyle w:val="Annotationtext"/>
        <w:rPr>
          <w:rFonts w:cs="Calibri" w:cstheme="minorHAnsi"/>
          <w:sz w:val="22"/>
          <w:szCs w:val="22"/>
        </w:rPr>
      </w:pPr>
      <w:r>
        <w:rPr>
          <w:rFonts w:cs="Calibri" w:cstheme="minorHAnsi"/>
          <w:sz w:val="22"/>
          <w:szCs w:val="22"/>
        </w:rPr>
        <w:t>Zamawiający podtrzymuje zapisy SIWZ. Zamawiający nie chce w przyszłości ograniczać rozbudowy serwera.</w:t>
      </w:r>
    </w:p>
    <w:p>
      <w:pPr>
        <w:pStyle w:val="Normal"/>
        <w:spacing w:lineRule="auto" w:line="276" w:before="240" w:after="120"/>
        <w:jc w:val="both"/>
        <w:rPr>
          <w:rFonts w:ascii="Calibri" w:hAnsi="Calibri" w:eastAsia="Calibri" w:cs="Times New Roman"/>
          <w:b/>
          <w:b/>
          <w:bCs/>
          <w:u w:val="single"/>
        </w:rPr>
      </w:pPr>
      <w:r>
        <w:rPr>
          <w:rFonts w:eastAsia="Calibri" w:cs="Times New Roman"/>
          <w:b/>
          <w:bCs/>
          <w:u w:val="single"/>
        </w:rPr>
        <w:t xml:space="preserve">Pytanie nr 12 </w:t>
      </w:r>
    </w:p>
    <w:p>
      <w:pPr>
        <w:pStyle w:val="Normal"/>
        <w:spacing w:lineRule="auto" w:line="276" w:before="0" w:after="0"/>
        <w:rPr/>
      </w:pPr>
      <w:r>
        <w:rPr/>
        <w:t>Dotyczy: Załącznik nr 1A do SIWZ, rozdział II.1.2. – Serwer do kopii, cecha 15 – Karta/Moduł zarządzający</w:t>
      </w:r>
    </w:p>
    <w:p>
      <w:pPr>
        <w:pStyle w:val="Normal"/>
        <w:spacing w:lineRule="auto" w:line="276" w:before="0" w:after="0"/>
        <w:rPr>
          <w:color w:val="000000" w:themeColor="text1"/>
        </w:rPr>
      </w:pPr>
      <w:r>
        <w:rPr/>
        <w:t>Zwracamy się z prośbą o informację, czy wymagania SIWZ zostaną spełnione, jeżeli oferowany sprzęt będzie posiadał możliwość nagrywania ostatniej awarii, lecz bez możliwości nagrywania startu oraz nagrywania na żądanie? Zwracamy uwagę, że możliwość nagrywania startu oraz nagrywania na żądanie, jest rozwiązaniem, które w żadnym stopniu nie wpływa na funkcjonalność serwera</w:t>
      </w:r>
      <w:r>
        <w:rPr>
          <w:color w:val="000000" w:themeColor="text1"/>
        </w:rPr>
        <w:t xml:space="preserve">. Jest również znaczącym ograniczeniem uczciwej konkurencji. </w:t>
      </w:r>
    </w:p>
    <w:p>
      <w:pPr>
        <w:pStyle w:val="Normal"/>
        <w:spacing w:lineRule="auto" w:line="259" w:before="120" w:after="120"/>
        <w:jc w:val="both"/>
        <w:rPr>
          <w:rFonts w:ascii="Calibri" w:hAnsi="Calibri" w:eastAsia="Calibri" w:cs="Times New Roman"/>
        </w:rPr>
      </w:pPr>
      <w:r>
        <w:rPr>
          <w:rFonts w:eastAsia="Calibri" w:cs="Times New Roman"/>
          <w:b/>
          <w:bCs/>
          <w:u w:val="single"/>
        </w:rPr>
        <w:t>Odpowiedź nr 12</w:t>
      </w:r>
    </w:p>
    <w:p>
      <w:pPr>
        <w:pStyle w:val="Normal"/>
        <w:spacing w:lineRule="auto" w:line="276" w:before="0" w:after="0"/>
        <w:jc w:val="both"/>
        <w:rPr/>
      </w:pPr>
      <w:r>
        <w:rPr/>
        <w:t xml:space="preserve">Zamawiający podtrzymuje zapisy SIWZ. Możliwość nagrywania sesji video na żądanie jest oczekiwana przez Zamawiającego do celów instruktażowych oraz dokumentowania niewłaściwego działania serwera (cele serwisowe) dla przypadków, w których nie występuje awaria powodująca całkowite przerwanie pracy serwera. Z posiadanej przez Zamawiającego wiedzy wynika, że takie rozwiązanie oferuje na rynku kilku producentów serwerów. </w:t>
      </w:r>
    </w:p>
    <w:p>
      <w:pPr>
        <w:pStyle w:val="Normal"/>
        <w:spacing w:lineRule="auto" w:line="276" w:before="240" w:after="120"/>
        <w:jc w:val="both"/>
        <w:rPr>
          <w:rFonts w:ascii="Calibri" w:hAnsi="Calibri" w:eastAsia="Calibri" w:cs="Times New Roman"/>
          <w:b/>
          <w:b/>
          <w:bCs/>
          <w:u w:val="single"/>
        </w:rPr>
      </w:pPr>
      <w:r>
        <w:rPr>
          <w:rFonts w:eastAsia="Calibri" w:cs="Times New Roman"/>
          <w:b/>
          <w:bCs/>
          <w:u w:val="single"/>
        </w:rPr>
        <w:t>Pytanie nr 13</w:t>
      </w:r>
    </w:p>
    <w:p>
      <w:pPr>
        <w:pStyle w:val="Normal"/>
        <w:spacing w:lineRule="auto" w:line="276" w:before="0" w:after="0"/>
        <w:rPr/>
      </w:pPr>
      <w:r>
        <w:rPr/>
        <w:t>Dotyczy: Załącznik nr 1A do SIWZ, rozdział II.1.2. – Serwer do kopii, cecha 15 – Karta/Moduł zarządzający</w:t>
      </w:r>
    </w:p>
    <w:p>
      <w:pPr>
        <w:pStyle w:val="Normal"/>
        <w:spacing w:lineRule="auto" w:line="276" w:before="0" w:after="0"/>
        <w:rPr/>
      </w:pPr>
      <w:r>
        <w:rPr/>
        <w:t>Wskazujemy, iż standard AES/ 3DES jest używany przez konkretnego Vendora (HPE), w związku z tym prosimy o wyjaśnienie czy zastosowanie równoważnego, standardu szyfrowania TLS zostanie uznane jako spełniające wymagania SIWZ.</w:t>
      </w:r>
    </w:p>
    <w:p>
      <w:pPr>
        <w:pStyle w:val="Normal"/>
        <w:spacing w:lineRule="auto" w:line="259" w:before="120" w:after="120"/>
        <w:jc w:val="both"/>
        <w:rPr>
          <w:rFonts w:ascii="Calibri" w:hAnsi="Calibri" w:eastAsia="Calibri" w:cs="Times New Roman"/>
        </w:rPr>
      </w:pPr>
      <w:r>
        <w:rPr>
          <w:rFonts w:eastAsia="Calibri" w:cs="Times New Roman"/>
          <w:b/>
          <w:bCs/>
          <w:u w:val="single"/>
        </w:rPr>
        <w:t>Odpowiedź nr 13</w:t>
      </w:r>
    </w:p>
    <w:p>
      <w:pPr>
        <w:pStyle w:val="Normal"/>
        <w:spacing w:lineRule="auto" w:line="276"/>
        <w:jc w:val="both"/>
        <w:rPr>
          <w:rFonts w:eastAsia="Calibri"/>
          <w:bCs/>
        </w:rPr>
      </w:pPr>
      <w:r>
        <w:rPr>
          <w:rFonts w:eastAsia="Calibri" w:cs="Times New Roman"/>
        </w:rPr>
        <w:t xml:space="preserve">Zamawiający </w:t>
      </w:r>
      <w:r>
        <w:rPr>
          <w:rFonts w:eastAsia="Calibri"/>
          <w:bCs/>
        </w:rPr>
        <w:t xml:space="preserve">dokonuje zmiany zapisu SIWZ </w:t>
      </w:r>
      <w:r>
        <w:rPr>
          <w:rFonts w:eastAsia="Calibri"/>
          <w:b/>
        </w:rPr>
        <w:t>w Załączniku nr 1A – SOPZ Część 1, rozdział II ust. II.1.2 – Serwer do kopii (backup), pozycja 15 pkt 1 wiersz 20</w:t>
      </w:r>
      <w:r>
        <w:rPr>
          <w:rFonts w:eastAsia="Calibri"/>
          <w:bCs/>
        </w:rPr>
        <w:t>, który otrzymuje brzmienie:</w:t>
      </w:r>
    </w:p>
    <w:p>
      <w:pPr>
        <w:pStyle w:val="Normal"/>
        <w:spacing w:lineRule="auto" w:line="240"/>
        <w:jc w:val="both"/>
        <w:rPr>
          <w:rFonts w:eastAsia="Calibri"/>
          <w:bCs/>
        </w:rPr>
      </w:pPr>
      <w:r>
        <w:rPr>
          <w:rFonts w:eastAsia="Calibri"/>
          <w:bCs/>
        </w:rPr>
        <w:t>„</w:t>
      </w:r>
      <w:r>
        <w:rPr>
          <w:rFonts w:eastAsia="Calibri"/>
          <w:bCs/>
        </w:rPr>
        <w:t>(...)</w:t>
      </w:r>
    </w:p>
    <w:p>
      <w:pPr>
        <w:pStyle w:val="Normal"/>
        <w:numPr>
          <w:ilvl w:val="0"/>
          <w:numId w:val="2"/>
        </w:numPr>
        <w:spacing w:lineRule="auto" w:line="240" w:before="0" w:after="0"/>
        <w:ind w:left="720" w:hanging="360"/>
        <w:contextualSpacing/>
        <w:jc w:val="both"/>
        <w:rPr>
          <w:rFonts w:ascii="Calibri" w:hAnsi="Calibri" w:cs="Calibri"/>
        </w:rPr>
      </w:pPr>
      <w:r>
        <w:rPr>
          <w:rFonts w:cs="Calibri"/>
        </w:rPr>
        <w:t xml:space="preserve">enkrypcja AES/3DES </w:t>
      </w:r>
      <w:r>
        <w:rPr>
          <w:rFonts w:cs="Calibri"/>
          <w:b/>
          <w:bCs/>
        </w:rPr>
        <w:t>lub TLS w wersji minimum 1.2</w:t>
      </w:r>
    </w:p>
    <w:p>
      <w:pPr>
        <w:pStyle w:val="Normal"/>
        <w:spacing w:lineRule="auto" w:line="240" w:before="0" w:after="0"/>
        <w:contextualSpacing/>
        <w:jc w:val="both"/>
        <w:rPr>
          <w:rFonts w:ascii="Calibri" w:hAnsi="Calibri" w:cs="Calibri"/>
        </w:rPr>
      </w:pPr>
      <w:r>
        <w:rPr>
          <w:rFonts w:cs="Calibri"/>
        </w:rPr>
        <w:t>(...)”</w:t>
      </w:r>
    </w:p>
    <w:p>
      <w:pPr>
        <w:pStyle w:val="Normal"/>
        <w:spacing w:lineRule="auto" w:line="276" w:before="240" w:after="120"/>
        <w:jc w:val="both"/>
        <w:rPr>
          <w:rFonts w:ascii="Calibri" w:hAnsi="Calibri" w:eastAsia="Calibri" w:cs="Times New Roman"/>
          <w:b/>
          <w:b/>
          <w:bCs/>
          <w:u w:val="single"/>
        </w:rPr>
      </w:pPr>
      <w:r>
        <w:rPr>
          <w:rFonts w:eastAsia="Calibri" w:cs="Times New Roman"/>
          <w:b/>
          <w:bCs/>
          <w:u w:val="single"/>
        </w:rPr>
        <w:t>Pytanie nr 14</w:t>
      </w:r>
    </w:p>
    <w:p>
      <w:pPr>
        <w:pStyle w:val="Normal"/>
        <w:spacing w:lineRule="auto" w:line="254" w:before="0" w:after="120"/>
        <w:ind w:left="142" w:right="108" w:hanging="0"/>
        <w:rPr/>
      </w:pPr>
      <w:r>
        <w:rPr/>
        <w:t>Na stronie 7 załacznika nr 1A jest podana 1 sztuka zasilacza awaryjnego UPS.</w:t>
        <w:br/>
        <w:t>Na stronie 41 załacznika nr 1A jest podane 2 sztuki zasilacza awaryjnego UPS.</w:t>
        <w:br/>
        <w:t xml:space="preserve">Proszę o podanie poprawnej ilośći zasilaczy. </w:t>
      </w:r>
    </w:p>
    <w:p>
      <w:pPr>
        <w:pStyle w:val="Normal"/>
        <w:spacing w:lineRule="auto" w:line="259" w:before="120" w:after="120"/>
        <w:jc w:val="both"/>
        <w:rPr>
          <w:rFonts w:ascii="Calibri" w:hAnsi="Calibri" w:eastAsia="Calibri" w:cs="Times New Roman"/>
          <w:b/>
          <w:b/>
          <w:bCs/>
          <w:u w:val="single"/>
        </w:rPr>
      </w:pPr>
      <w:r>
        <w:rPr>
          <w:rFonts w:eastAsia="Calibri" w:cs="Times New Roman"/>
          <w:b/>
          <w:bCs/>
          <w:u w:val="single"/>
        </w:rPr>
        <w:t>Odpowiedź nr 14</w:t>
      </w:r>
    </w:p>
    <w:p>
      <w:pPr>
        <w:pStyle w:val="Normal"/>
        <w:spacing w:lineRule="auto" w:line="276" w:before="120" w:after="120"/>
        <w:jc w:val="both"/>
        <w:rPr>
          <w:rFonts w:ascii="Calibri" w:hAnsi="Calibri" w:eastAsia="Calibri" w:cs="Times New Roman"/>
        </w:rPr>
      </w:pPr>
      <w:r>
        <w:rPr>
          <w:rFonts w:eastAsia="Calibri" w:cs="Times New Roman"/>
        </w:rPr>
        <w:t>Zamawiający informuje, że doszło do pomyłki pisarskiej.</w:t>
      </w:r>
    </w:p>
    <w:p>
      <w:pPr>
        <w:pStyle w:val="Normal"/>
        <w:spacing w:lineRule="auto" w:line="276" w:before="0" w:after="120"/>
        <w:jc w:val="both"/>
        <w:rPr>
          <w:rFonts w:ascii="Calibri" w:hAnsi="Calibri" w:cs="Calibri"/>
          <w:color w:val="000000"/>
        </w:rPr>
      </w:pPr>
      <w:r>
        <w:rPr>
          <w:rFonts w:cs="Calibri"/>
          <w:color w:val="000000"/>
        </w:rPr>
        <w:t xml:space="preserve">W związku z powyższym dokonuje zmiany zapisu SIWZ w </w:t>
      </w:r>
      <w:r>
        <w:rPr>
          <w:rFonts w:cs="Calibri"/>
          <w:b/>
          <w:bCs/>
          <w:color w:val="000000"/>
        </w:rPr>
        <w:t>Załączniku nr 1A, ust. II.1.6 – Zasilacz awaryjny UPS, zdanie pierwsze</w:t>
      </w:r>
      <w:r>
        <w:rPr>
          <w:rFonts w:cs="Calibri"/>
          <w:color w:val="000000"/>
        </w:rPr>
        <w:t>, które otrzymuje brzmienie:</w:t>
      </w:r>
    </w:p>
    <w:p>
      <w:pPr>
        <w:pStyle w:val="Normal"/>
        <w:spacing w:lineRule="auto" w:line="276" w:before="0" w:after="120"/>
        <w:rPr>
          <w:rFonts w:ascii="Calibri" w:hAnsi="Calibri" w:cs="Calibri"/>
        </w:rPr>
      </w:pPr>
      <w:r>
        <w:rPr>
          <w:rFonts w:eastAsia="Calibri" w:cs="Times New Roman"/>
        </w:rPr>
        <w:t>„</w:t>
      </w:r>
      <w:r>
        <w:rPr>
          <w:rFonts w:cs="Calibri"/>
        </w:rPr>
        <w:t xml:space="preserve">Wymagane dostarczenie </w:t>
      </w:r>
      <w:r>
        <w:rPr>
          <w:rFonts w:cs="Calibri"/>
          <w:b/>
          <w:bCs/>
        </w:rPr>
        <w:t>1 szt.</w:t>
      </w:r>
      <w:r>
        <w:rPr>
          <w:rFonts w:cs="Calibri"/>
        </w:rPr>
        <w:t xml:space="preserve"> UPS spełniających poniżej opisane minimalne parametry funkcjonalne:”</w:t>
      </w:r>
    </w:p>
    <w:p>
      <w:pPr>
        <w:pStyle w:val="Normal"/>
        <w:spacing w:lineRule="auto" w:line="276" w:before="240" w:after="120"/>
        <w:jc w:val="both"/>
        <w:rPr>
          <w:rFonts w:ascii="Calibri" w:hAnsi="Calibri" w:eastAsia="Calibri" w:cs="Times New Roman"/>
          <w:b/>
          <w:b/>
          <w:bCs/>
          <w:u w:val="single"/>
        </w:rPr>
      </w:pPr>
      <w:r>
        <w:rPr>
          <w:rFonts w:eastAsia="Calibri" w:cs="Times New Roman"/>
          <w:b/>
          <w:bCs/>
          <w:u w:val="single"/>
        </w:rPr>
        <w:t>Pytanie nr 15</w:t>
      </w:r>
    </w:p>
    <w:p>
      <w:pPr>
        <w:pStyle w:val="Normal"/>
        <w:spacing w:lineRule="auto" w:line="254" w:before="0" w:after="120"/>
        <w:rPr/>
      </w:pPr>
      <w:r>
        <w:rPr/>
        <w:t>2.Czy Zamawiający dopuści przełącznik LAN wyposażony w bufor pakietów nie mniejszy niż 1,5MB? (str. 11 załacznika nr 1B). Każy z producentów projektując urządzenie dobiera jego wielkość pod oferowany system operacyjny.</w:t>
        <w:br/>
        <w:t>Chcę zwrócić, że ta wielkośc bufora jest optymalna do pracy wire-speed na wszystkich portach przełącznika.</w:t>
      </w:r>
    </w:p>
    <w:p>
      <w:pPr>
        <w:pStyle w:val="Normal"/>
        <w:spacing w:lineRule="auto" w:line="259" w:before="120" w:after="120"/>
        <w:jc w:val="both"/>
        <w:rPr>
          <w:rFonts w:ascii="Calibri" w:hAnsi="Calibri" w:eastAsia="Calibri" w:cs="Times New Roman"/>
        </w:rPr>
      </w:pPr>
      <w:r>
        <w:rPr>
          <w:rFonts w:eastAsia="Calibri" w:cs="Times New Roman"/>
          <w:b/>
          <w:bCs/>
          <w:u w:val="single"/>
        </w:rPr>
        <w:t>Odpowiedź nr 15</w:t>
      </w:r>
    </w:p>
    <w:p>
      <w:pPr>
        <w:pStyle w:val="Normal"/>
        <w:spacing w:lineRule="auto" w:line="276" w:before="0" w:after="120"/>
        <w:jc w:val="both"/>
        <w:rPr>
          <w:rFonts w:ascii="Calibri" w:hAnsi="Calibri" w:cs="Calibri"/>
          <w:color w:val="000000"/>
        </w:rPr>
      </w:pPr>
      <w:r>
        <w:rPr>
          <w:rFonts w:cs="Calibri" w:cstheme="minorHAnsi"/>
          <w:bCs/>
        </w:rPr>
        <w:t xml:space="preserve">Zamawiający dokonuje zmiany zapisu SIWZ w </w:t>
      </w:r>
      <w:r>
        <w:rPr>
          <w:rFonts w:cs="Calibri"/>
          <w:b/>
          <w:bCs/>
          <w:color w:val="000000"/>
        </w:rPr>
        <w:t>Załączniku nr 1B, ust. II.1.1 – Przełącznik LAN, pozycja 1 pkt 6</w:t>
      </w:r>
      <w:r>
        <w:rPr>
          <w:rFonts w:cs="Calibri"/>
          <w:color w:val="000000"/>
        </w:rPr>
        <w:t>, który otrzymuje brzmienie:</w:t>
      </w:r>
    </w:p>
    <w:p>
      <w:pPr>
        <w:pStyle w:val="Normal"/>
        <w:spacing w:lineRule="auto" w:line="360" w:before="0" w:after="0"/>
        <w:rPr>
          <w:rFonts w:cs="Calibri" w:cstheme="minorHAnsi"/>
          <w:color w:val="00000A"/>
        </w:rPr>
      </w:pPr>
      <w:r>
        <w:rPr>
          <w:rFonts w:cs="Calibri"/>
          <w:color w:val="000000"/>
        </w:rPr>
        <w:t>„</w:t>
      </w:r>
      <w:r>
        <w:rPr>
          <w:rFonts w:cs="Calibri" w:cstheme="minorHAnsi"/>
        </w:rPr>
        <w:t>Bufor pakietów nie mniejszy niż</w:t>
      </w:r>
      <w:r>
        <w:rPr>
          <w:rFonts w:cs="Calibri" w:cstheme="minorHAnsi"/>
          <w:color w:val="00000A"/>
        </w:rPr>
        <w:t xml:space="preserve"> </w:t>
      </w:r>
      <w:r>
        <w:rPr>
          <w:rFonts w:cs="Calibri" w:cstheme="minorHAnsi"/>
          <w:b/>
          <w:bCs/>
          <w:color w:val="00000A"/>
        </w:rPr>
        <w:t>1,5MB</w:t>
      </w:r>
      <w:r>
        <w:rPr>
          <w:rFonts w:cs="Calibri" w:cstheme="minorHAnsi"/>
          <w:color w:val="00000A"/>
        </w:rPr>
        <w:t>”</w:t>
      </w:r>
    </w:p>
    <w:p>
      <w:pPr>
        <w:pStyle w:val="Normal"/>
        <w:spacing w:lineRule="auto" w:line="276" w:before="240" w:after="120"/>
        <w:jc w:val="both"/>
        <w:rPr>
          <w:rFonts w:ascii="Calibri" w:hAnsi="Calibri" w:eastAsia="Calibri" w:cs="Times New Roman"/>
          <w:b/>
          <w:b/>
          <w:bCs/>
          <w:u w:val="single"/>
        </w:rPr>
      </w:pPr>
      <w:r>
        <w:rPr>
          <w:rFonts w:eastAsia="Calibri" w:cs="Times New Roman"/>
          <w:b/>
          <w:bCs/>
          <w:u w:val="single"/>
        </w:rPr>
        <w:t>Pytanie nr 16</w:t>
      </w:r>
    </w:p>
    <w:p>
      <w:pPr>
        <w:pStyle w:val="Normal"/>
        <w:spacing w:lineRule="auto" w:line="276" w:before="0" w:after="0"/>
        <w:jc w:val="both"/>
        <w:rPr/>
      </w:pPr>
      <w:r>
        <w:rPr>
          <w:rFonts w:cs="Calibri"/>
          <w:b/>
        </w:rPr>
        <w:t>Dotyczy</w:t>
      </w:r>
    </w:p>
    <w:p>
      <w:pPr>
        <w:pStyle w:val="Normal"/>
        <w:spacing w:lineRule="auto" w:line="276" w:before="0" w:after="0"/>
        <w:jc w:val="both"/>
        <w:rPr/>
      </w:pPr>
      <w:r>
        <w:rPr>
          <w:rFonts w:cs="Calibri"/>
          <w:i/>
        </w:rPr>
        <w:t>Obsługa zewnętrznych macierzy typu NAS bez limitu pojemności i bez konieczności zakupu dodatkowych licencji</w:t>
      </w:r>
    </w:p>
    <w:p>
      <w:pPr>
        <w:pStyle w:val="Normal"/>
        <w:spacing w:lineRule="auto" w:line="276" w:before="0" w:after="0"/>
        <w:jc w:val="both"/>
        <w:rPr/>
      </w:pPr>
      <w:r>
        <w:rPr>
          <w:rFonts w:cs="Calibri"/>
        </w:rPr>
        <w:t>Prosimy o rezygnację z powyższego wymagania jako ograniczającego konkurencję i wykluczającego producentów opierających swój model licencyjny na pojemności archiwum badań</w:t>
      </w:r>
    </w:p>
    <w:p>
      <w:pPr>
        <w:pStyle w:val="Normal"/>
        <w:spacing w:lineRule="auto" w:line="276" w:before="120" w:after="120"/>
        <w:jc w:val="both"/>
        <w:rPr>
          <w:rFonts w:ascii="Calibri" w:hAnsi="Calibri" w:eastAsia="Calibri" w:cs="Times New Roman"/>
          <w:b/>
          <w:b/>
          <w:bCs/>
          <w:u w:val="single"/>
        </w:rPr>
      </w:pPr>
      <w:r>
        <w:rPr>
          <w:rFonts w:eastAsia="Calibri" w:cs="Times New Roman"/>
          <w:b/>
          <w:bCs/>
          <w:u w:val="single"/>
        </w:rPr>
        <w:t>Odpowiedź nr 16</w:t>
      </w:r>
    </w:p>
    <w:p>
      <w:pPr>
        <w:pStyle w:val="Normal"/>
        <w:spacing w:lineRule="auto" w:line="276" w:before="0" w:after="0"/>
        <w:rPr>
          <w:rFonts w:cs="Calibri" w:cstheme="minorHAnsi"/>
          <w:b/>
          <w:b/>
          <w:bCs/>
        </w:rPr>
      </w:pPr>
      <w:r>
        <w:rPr>
          <w:rFonts w:cs="Calibri" w:cstheme="minorHAnsi"/>
          <w:bCs/>
        </w:rPr>
        <w:t xml:space="preserve">Zamawiający dokonuje zmiany zapisu SIWZ w </w:t>
      </w:r>
      <w:r>
        <w:rPr>
          <w:rFonts w:cs="Calibri"/>
          <w:b/>
          <w:bCs/>
          <w:color w:val="000000"/>
        </w:rPr>
        <w:t>Załączniku nr 1A, ust. II.3.6 – Szpitalny System Informatyczny – wymagania szczegółowe - RIS/PACS – dostawa i wdrożenie, pozycja System PACS wymagania minimalne, pkt 4</w:t>
      </w:r>
      <w:r>
        <w:rPr>
          <w:rFonts w:cs="Calibri"/>
          <w:color w:val="000000"/>
        </w:rPr>
        <w:t xml:space="preserve">, poprzez </w:t>
      </w:r>
      <w:r>
        <w:rPr>
          <w:rFonts w:cs="Calibri"/>
          <w:b/>
          <w:bCs/>
          <w:color w:val="000000"/>
        </w:rPr>
        <w:t>wykreślenie punktu w całości.</w:t>
      </w:r>
    </w:p>
    <w:p>
      <w:pPr>
        <w:pStyle w:val="Normal"/>
        <w:spacing w:lineRule="auto" w:line="276" w:before="240" w:after="120"/>
        <w:jc w:val="both"/>
        <w:rPr>
          <w:rFonts w:ascii="Calibri" w:hAnsi="Calibri" w:eastAsia="Calibri" w:cs="Times New Roman"/>
          <w:b/>
          <w:b/>
          <w:bCs/>
          <w:u w:val="single"/>
        </w:rPr>
      </w:pPr>
      <w:r>
        <w:rPr>
          <w:rFonts w:eastAsia="Calibri" w:cs="Times New Roman"/>
          <w:b/>
          <w:bCs/>
          <w:u w:val="single"/>
        </w:rPr>
        <w:t>Pytanie nr 17</w:t>
      </w:r>
    </w:p>
    <w:p>
      <w:pPr>
        <w:pStyle w:val="Normal"/>
        <w:spacing w:lineRule="auto" w:line="276" w:before="0" w:after="0"/>
        <w:jc w:val="both"/>
        <w:rPr/>
      </w:pPr>
      <w:r>
        <w:rPr>
          <w:rFonts w:cs="Calibri"/>
          <w:i/>
        </w:rPr>
        <w:t>Dedykowany moduł do opisywania badań mammograficznych przesiewowych. Zintegrowany z programem SIMP w zakresie rejestracji pacjenta oraz przesłania ankiety pacjenta i wyniku badania</w:t>
      </w:r>
    </w:p>
    <w:p>
      <w:pPr>
        <w:pStyle w:val="Normal"/>
        <w:spacing w:lineRule="auto" w:line="276" w:before="0" w:after="0"/>
        <w:jc w:val="both"/>
        <w:rPr/>
      </w:pPr>
      <w:r>
        <w:rPr>
          <w:rFonts w:cs="Calibri"/>
          <w:i/>
        </w:rPr>
        <w:t>Obsługa pracowni mobilnych typu mammo bus/rtg bus. Możliwość zdalnego zarejestrowania pacjenta, przesłanie z centralnego systemu listy pacjentów (dicom worklist). Przesłanie badań do centralnego systemu</w:t>
      </w:r>
    </w:p>
    <w:p>
      <w:pPr>
        <w:pStyle w:val="Normal"/>
        <w:spacing w:lineRule="auto" w:line="276" w:before="0" w:after="0"/>
        <w:jc w:val="both"/>
        <w:rPr/>
      </w:pPr>
      <w:r>
        <w:rPr>
          <w:rFonts w:cs="Calibri"/>
        </w:rPr>
        <w:t>Prosimy o rezygnację z powyższych wymagań jako ograniczających konkurencję i wskazujących wyłącznie na jednego producenta.</w:t>
      </w:r>
    </w:p>
    <w:p>
      <w:pPr>
        <w:pStyle w:val="Normal"/>
        <w:spacing w:lineRule="auto" w:line="259" w:before="120" w:after="120"/>
        <w:jc w:val="both"/>
        <w:rPr>
          <w:rFonts w:ascii="Calibri" w:hAnsi="Calibri" w:eastAsia="Calibri" w:cs="Times New Roman"/>
        </w:rPr>
      </w:pPr>
      <w:r>
        <w:rPr>
          <w:rFonts w:eastAsia="Calibri" w:cs="Times New Roman"/>
          <w:b/>
          <w:bCs/>
          <w:u w:val="single"/>
        </w:rPr>
        <w:t>Odpowiedź nr 17</w:t>
      </w:r>
    </w:p>
    <w:p>
      <w:pPr>
        <w:pStyle w:val="Normal"/>
        <w:spacing w:lineRule="auto" w:line="276" w:before="0" w:after="0"/>
        <w:rPr>
          <w:rFonts w:cs="Calibri" w:cstheme="minorHAnsi"/>
          <w:b/>
          <w:b/>
          <w:bCs/>
        </w:rPr>
      </w:pPr>
      <w:r>
        <w:rPr>
          <w:rFonts w:cs="Calibri" w:cstheme="minorHAnsi"/>
          <w:bCs/>
        </w:rPr>
        <w:t xml:space="preserve">Zamawiający dokonuje zmiany zapisu SIWZ w </w:t>
      </w:r>
      <w:r>
        <w:rPr>
          <w:rFonts w:cs="Calibri"/>
          <w:b/>
          <w:bCs/>
          <w:color w:val="000000"/>
        </w:rPr>
        <w:t>Załączniku nr 1A, ust. II.3.6 – Szpitalny System Informatyczny – wymagania szczegółowe - RIS/PACS – dostawa i wdrożenie, pozycja, pozycja System RIS, pkt 26 i 27</w:t>
      </w:r>
      <w:r>
        <w:rPr>
          <w:rFonts w:cs="Calibri"/>
          <w:color w:val="000000"/>
        </w:rPr>
        <w:t xml:space="preserve">, poprzez </w:t>
      </w:r>
      <w:r>
        <w:rPr>
          <w:rFonts w:cs="Calibri"/>
          <w:b/>
          <w:bCs/>
          <w:color w:val="000000"/>
        </w:rPr>
        <w:t>wykreślenie punktów w całości.</w:t>
      </w:r>
    </w:p>
    <w:p>
      <w:pPr>
        <w:pStyle w:val="Normal"/>
        <w:spacing w:lineRule="auto" w:line="276" w:before="360" w:after="120"/>
        <w:jc w:val="both"/>
        <w:rPr>
          <w:rFonts w:cs="Calibri" w:cstheme="minorHAnsi"/>
          <w:bCs/>
        </w:rPr>
      </w:pPr>
      <w:r>
        <w:rPr>
          <w:rFonts w:cs="Calibri" w:cstheme="minorHAnsi"/>
          <w:bCs/>
        </w:rPr>
        <w:t xml:space="preserve">Ponadto Zamawiający dokonuje korekty treści SIWZ w </w:t>
      </w:r>
      <w:r>
        <w:rPr>
          <w:rFonts w:cs="Calibri" w:cstheme="minorHAnsi"/>
          <w:b/>
        </w:rPr>
        <w:t>Załączniku nr 1A – SOPZ Cześć 1</w:t>
      </w:r>
      <w:r>
        <w:rPr>
          <w:rFonts w:cs="Calibri"/>
          <w:b/>
          <w:color w:val="000000"/>
        </w:rPr>
        <w:t>,</w:t>
      </w:r>
      <w:r>
        <w:rPr>
          <w:rFonts w:cs="Calibri"/>
          <w:b/>
          <w:bCs/>
          <w:color w:val="000000"/>
        </w:rPr>
        <w:t xml:space="preserve"> ust. II.3.6 – Szpitalny System Informatyczny – wymagania szczegółowe - RIS/PACS – dostawa i wdrożenie</w:t>
      </w:r>
      <w:r>
        <w:rPr>
          <w:rFonts w:cs="Calibri" w:cstheme="minorHAnsi"/>
          <w:bCs/>
        </w:rPr>
        <w:t>:</w:t>
      </w:r>
    </w:p>
    <w:p>
      <w:pPr>
        <w:pStyle w:val="ListParagraph"/>
        <w:numPr>
          <w:ilvl w:val="3"/>
          <w:numId w:val="1"/>
        </w:numPr>
        <w:spacing w:lineRule="auto" w:line="276" w:before="0" w:after="120"/>
        <w:ind w:left="426" w:hanging="426"/>
        <w:contextualSpacing/>
        <w:jc w:val="both"/>
        <w:rPr>
          <w:rFonts w:cs="Calibri" w:cstheme="minorHAnsi"/>
          <w:b/>
          <w:b/>
        </w:rPr>
      </w:pPr>
      <w:r>
        <w:rPr>
          <w:rFonts w:cs="Calibri" w:cstheme="minorHAnsi"/>
          <w:b/>
        </w:rPr>
        <w:t>System PACS wymagania minimalne:</w:t>
      </w:r>
    </w:p>
    <w:p>
      <w:pPr>
        <w:pStyle w:val="ListParagraph"/>
        <w:numPr>
          <w:ilvl w:val="0"/>
          <w:numId w:val="3"/>
        </w:numPr>
        <w:spacing w:lineRule="auto" w:line="276" w:before="0" w:after="120"/>
        <w:ind w:left="426" w:hanging="360"/>
        <w:contextualSpacing/>
        <w:jc w:val="both"/>
        <w:rPr>
          <w:rFonts w:cs="Calibri" w:cstheme="minorHAnsi"/>
          <w:b/>
          <w:b/>
        </w:rPr>
      </w:pPr>
      <w:r>
        <w:rPr>
          <w:rFonts w:cs="Calibri" w:cstheme="minorHAnsi"/>
          <w:bCs/>
        </w:rPr>
        <w:t xml:space="preserve">pozycja 13 – </w:t>
      </w:r>
      <w:r>
        <w:rPr>
          <w:rFonts w:cs="Calibri" w:cstheme="minorHAnsi"/>
          <w:b/>
        </w:rPr>
        <w:t>wykreśla punkt w całości</w:t>
      </w:r>
    </w:p>
    <w:p>
      <w:pPr>
        <w:pStyle w:val="ListParagraph"/>
        <w:numPr>
          <w:ilvl w:val="0"/>
          <w:numId w:val="3"/>
        </w:numPr>
        <w:spacing w:lineRule="auto" w:line="276" w:before="0" w:after="120"/>
        <w:ind w:left="425" w:hanging="357"/>
        <w:contextualSpacing/>
        <w:jc w:val="both"/>
        <w:rPr>
          <w:rFonts w:cs="Calibri" w:cstheme="minorHAnsi"/>
          <w:b/>
          <w:b/>
        </w:rPr>
      </w:pPr>
      <w:r>
        <w:rPr>
          <w:rFonts w:cs="Calibri" w:cstheme="minorHAnsi"/>
          <w:bCs/>
        </w:rPr>
        <w:t xml:space="preserve">pozycja 14 – </w:t>
      </w:r>
      <w:r>
        <w:rPr>
          <w:rFonts w:cs="Calibri" w:cstheme="minorHAnsi"/>
          <w:b/>
        </w:rPr>
        <w:t>wykreśla punkt w całości</w:t>
      </w:r>
    </w:p>
    <w:p>
      <w:pPr>
        <w:pStyle w:val="ListParagraph"/>
        <w:numPr>
          <w:ilvl w:val="3"/>
          <w:numId w:val="1"/>
        </w:numPr>
        <w:spacing w:lineRule="auto" w:line="276" w:before="0" w:after="120"/>
        <w:ind w:left="426" w:hanging="426"/>
        <w:contextualSpacing/>
        <w:jc w:val="both"/>
        <w:rPr>
          <w:rFonts w:cs="Calibri" w:cstheme="minorHAnsi"/>
          <w:b/>
          <w:b/>
        </w:rPr>
      </w:pPr>
      <w:r>
        <w:rPr>
          <w:rFonts w:cs="Calibri" w:cstheme="minorHAnsi"/>
          <w:b/>
        </w:rPr>
        <w:t>System RIS:</w:t>
      </w:r>
    </w:p>
    <w:p>
      <w:pPr>
        <w:pStyle w:val="ListParagraph"/>
        <w:numPr>
          <w:ilvl w:val="0"/>
          <w:numId w:val="4"/>
        </w:numPr>
        <w:spacing w:lineRule="auto" w:line="276" w:before="0" w:after="120"/>
        <w:ind w:left="426" w:hanging="426"/>
        <w:contextualSpacing/>
        <w:jc w:val="both"/>
        <w:rPr>
          <w:rFonts w:cs="Calibri" w:cstheme="minorHAnsi"/>
          <w:bCs/>
        </w:rPr>
      </w:pPr>
      <w:r>
        <w:rPr>
          <w:rFonts w:cs="Calibri" w:cstheme="minorHAnsi"/>
          <w:bCs/>
        </w:rPr>
        <w:t>pozycja 9 – otrzymuje brzmienie: „</w:t>
      </w:r>
      <w:r>
        <w:rPr>
          <w:rFonts w:eastAsia="Calibri" w:cs="Calibri"/>
          <w:color w:val="00000A"/>
        </w:rPr>
        <w:t xml:space="preserve">Funkcje integracji z oprogramowaniem diagnostycznym, </w:t>
      </w:r>
      <w:r>
        <w:rPr>
          <w:rFonts w:eastAsia="Calibri" w:cs="Calibri"/>
          <w:b/>
          <w:bCs/>
          <w:color w:val="00000A"/>
        </w:rPr>
        <w:t>minimum: eFilm</w:t>
      </w:r>
      <w:r>
        <w:rPr>
          <w:rFonts w:eastAsia="Calibri" w:cs="Calibri"/>
          <w:color w:val="00000A"/>
        </w:rPr>
        <w:t>”</w:t>
      </w:r>
    </w:p>
    <w:p>
      <w:pPr>
        <w:pStyle w:val="ListParagraph"/>
        <w:numPr>
          <w:ilvl w:val="0"/>
          <w:numId w:val="4"/>
        </w:numPr>
        <w:spacing w:lineRule="auto" w:line="276" w:before="0" w:after="120"/>
        <w:ind w:left="426" w:hanging="426"/>
        <w:contextualSpacing/>
        <w:jc w:val="both"/>
        <w:rPr>
          <w:rFonts w:cs="Calibri" w:cstheme="minorHAnsi"/>
          <w:bCs/>
        </w:rPr>
      </w:pPr>
      <w:r>
        <w:rPr>
          <w:rFonts w:cs="Calibri" w:cstheme="minorHAnsi"/>
          <w:bCs/>
        </w:rPr>
        <w:t xml:space="preserve">pozycja 41 – </w:t>
      </w:r>
      <w:r>
        <w:rPr>
          <w:rFonts w:cs="Calibri" w:cstheme="minorHAnsi"/>
          <w:b/>
        </w:rPr>
        <w:t>wykreśla punkt w całości</w:t>
      </w:r>
    </w:p>
    <w:p>
      <w:pPr>
        <w:pStyle w:val="Normal"/>
        <w:spacing w:lineRule="auto" w:line="276" w:before="0" w:after="0"/>
        <w:rPr/>
      </w:pPr>
      <w:r>
        <w:rPr>
          <w:rFonts w:cs="Calibri" w:cstheme="minorHAnsi"/>
          <w:bCs/>
        </w:rPr>
        <w:t xml:space="preserve">Jednocześnie Zamawiający </w:t>
      </w:r>
      <w:r>
        <w:rPr/>
        <w:t xml:space="preserve">pragnie uszczegółowić i wyjaśnić, iż aktualnie użytkowanym w pracowni radiologii systemem medycznym klasy PACS/RIS jest oprogramowanie o nazwie produktowej ArPACS (producent: Synektik S.A. Warszawa, Al. Witosa 31.). </w:t>
      </w:r>
    </w:p>
    <w:p>
      <w:pPr>
        <w:pStyle w:val="Normal"/>
        <w:spacing w:lineRule="auto" w:line="276" w:before="0" w:after="0"/>
        <w:rPr/>
      </w:pPr>
      <w:r>
        <w:rPr/>
        <w:t xml:space="preserve">Tym samym Zamawiający w ramach przedmiotu zamówienia oczekuje zapewnienia min. ilości licencji DICOM/Worklist/RIS dla nw. urządzeń: </w:t>
      </w:r>
    </w:p>
    <w:p>
      <w:pPr>
        <w:pStyle w:val="Normal"/>
        <w:numPr>
          <w:ilvl w:val="0"/>
          <w:numId w:val="5"/>
        </w:numPr>
        <w:spacing w:lineRule="auto" w:line="276" w:before="0" w:after="0"/>
        <w:ind w:left="714" w:hanging="357"/>
        <w:rPr>
          <w:rFonts w:eastAsia="Times New Roman"/>
        </w:rPr>
      </w:pPr>
      <w:r>
        <w:rPr>
          <w:rFonts w:eastAsia="Times New Roman"/>
        </w:rPr>
        <w:t>1xSystem radiografii pośredniej RTG - CR (Carestream Health)</w:t>
      </w:r>
    </w:p>
    <w:p>
      <w:pPr>
        <w:pStyle w:val="Normal"/>
        <w:numPr>
          <w:ilvl w:val="0"/>
          <w:numId w:val="5"/>
        </w:numPr>
        <w:spacing w:lineRule="auto" w:line="276" w:before="0" w:after="0"/>
        <w:rPr>
          <w:rFonts w:eastAsia="Times New Roman"/>
        </w:rPr>
      </w:pPr>
      <w:r>
        <w:rPr>
          <w:rFonts w:eastAsia="Times New Roman"/>
        </w:rPr>
        <w:t>1xAparat RTG DR (Philips)</w:t>
      </w:r>
    </w:p>
    <w:p>
      <w:pPr>
        <w:pStyle w:val="Normal"/>
        <w:numPr>
          <w:ilvl w:val="0"/>
          <w:numId w:val="5"/>
        </w:numPr>
        <w:spacing w:lineRule="auto" w:line="276" w:before="0" w:after="0"/>
        <w:rPr>
          <w:rFonts w:eastAsia="Times New Roman"/>
        </w:rPr>
      </w:pPr>
      <w:r>
        <w:rPr>
          <w:rFonts w:eastAsia="Times New Roman"/>
        </w:rPr>
        <w:t>1xStacja sterująca wraz z Duplikatorem CD/DVD (ArPACS OUT - producent Synektik S.A.)</w:t>
      </w:r>
    </w:p>
    <w:p>
      <w:pPr>
        <w:pStyle w:val="Normal"/>
        <w:numPr>
          <w:ilvl w:val="0"/>
          <w:numId w:val="5"/>
        </w:numPr>
        <w:spacing w:lineRule="auto" w:line="276" w:before="0" w:after="0"/>
        <w:rPr>
          <w:rFonts w:eastAsia="Times New Roman"/>
        </w:rPr>
      </w:pPr>
      <w:r>
        <w:rPr>
          <w:rFonts w:eastAsia="Times New Roman"/>
        </w:rPr>
        <w:t>1xStacja generowania płyt CD/DVD - komputer PC (ArPACS OUT - producent Synektik S.A.)</w:t>
      </w:r>
    </w:p>
    <w:p>
      <w:pPr>
        <w:pStyle w:val="Normal"/>
        <w:numPr>
          <w:ilvl w:val="0"/>
          <w:numId w:val="5"/>
        </w:numPr>
        <w:spacing w:lineRule="auto" w:line="276" w:before="0" w:after="0"/>
        <w:rPr>
          <w:rFonts w:eastAsia="Times New Roman"/>
        </w:rPr>
      </w:pPr>
      <w:r>
        <w:rPr>
          <w:rFonts w:eastAsia="Times New Roman"/>
        </w:rPr>
        <w:t>2xSstacja lekarska opisowa wraz z oprogramowaniem diagnostycznym ArVIEW</w:t>
      </w:r>
    </w:p>
    <w:p>
      <w:pPr>
        <w:pStyle w:val="Normal"/>
        <w:numPr>
          <w:ilvl w:val="0"/>
          <w:numId w:val="5"/>
        </w:numPr>
        <w:spacing w:lineRule="auto" w:line="276" w:before="0" w:after="0"/>
        <w:rPr>
          <w:rFonts w:eastAsia="Times New Roman"/>
        </w:rPr>
      </w:pPr>
      <w:r>
        <w:rPr>
          <w:rFonts w:eastAsia="Times New Roman"/>
        </w:rPr>
        <w:t>1xSerwer archiwizacji PACS Fujitsu Primergy RX300 (ArPACS SRV - producent Synektik S.A.) o wolumenie obrazowym 4TB - docelowa ilość danych dla wielkości wolumenowej danych DICOM równa będzie wielkości kupowanej w ramach postępowania macierzy min. 14TB.</w:t>
      </w:r>
    </w:p>
    <w:p>
      <w:pPr>
        <w:pStyle w:val="Normal"/>
        <w:numPr>
          <w:ilvl w:val="0"/>
          <w:numId w:val="5"/>
        </w:numPr>
        <w:spacing w:lineRule="auto" w:line="276" w:before="0" w:after="0"/>
        <w:rPr>
          <w:rFonts w:eastAsia="Times New Roman"/>
        </w:rPr>
      </w:pPr>
      <w:r>
        <w:rPr>
          <w:rFonts w:eastAsia="Times New Roman"/>
        </w:rPr>
        <w:t>5 szt. licencji oprogramowania przeglądowego (ArPACS WEB - producent Synektik S.A.) dla stacji klinicznych/oddziałowych</w:t>
      </w:r>
    </w:p>
    <w:p>
      <w:pPr>
        <w:pStyle w:val="Normal"/>
        <w:numPr>
          <w:ilvl w:val="0"/>
          <w:numId w:val="5"/>
        </w:numPr>
        <w:spacing w:lineRule="auto" w:line="276" w:before="0" w:after="120"/>
        <w:ind w:left="714" w:hanging="357"/>
        <w:rPr>
          <w:rFonts w:eastAsia="Times New Roman"/>
        </w:rPr>
      </w:pPr>
      <w:r>
        <w:rPr>
          <w:rFonts w:eastAsia="Times New Roman"/>
        </w:rPr>
        <w:t>5 szt. licencji oprogramowania klasy RIS (ArPACS RIS - producent Synektik S.A.)</w:t>
      </w:r>
    </w:p>
    <w:p>
      <w:pPr>
        <w:pStyle w:val="Normal"/>
        <w:spacing w:lineRule="auto" w:line="276"/>
        <w:rPr/>
      </w:pPr>
      <w:r>
        <w:rPr/>
        <w:t xml:space="preserve">Zamawiający wymaga również by Wykonawca wykonał migrację danych obrazowych DICOM z serwera PACS jak i wynikowych z serwera RIS z obecnie użytkowanego systemu ArPACS (Synektik S.A.). Zamawiający pragnie zaznaczyć, iż nie posiada danych źródłowych jak również ewentualnej dokumentacji w tym zakresie. </w:t>
      </w:r>
      <w:bookmarkStart w:id="0" w:name="_GoBack"/>
      <w:bookmarkEnd w:id="0"/>
    </w:p>
    <w:p>
      <w:pPr>
        <w:pStyle w:val="Normal"/>
        <w:spacing w:lineRule="auto" w:line="254" w:before="360" w:after="120"/>
        <w:jc w:val="both"/>
        <w:rPr/>
      </w:pPr>
      <w:r>
        <w:rPr>
          <w:rFonts w:cs="Calibri" w:cstheme="minorHAnsi"/>
          <w:b/>
        </w:rPr>
        <w:t xml:space="preserve">Pozostałe zapisy pozostają bez zmian. Powyższe odpowiedzi stanowią integralną część SIWZ. </w:t>
      </w:r>
    </w:p>
    <w:p>
      <w:pPr>
        <w:pStyle w:val="Normal"/>
        <w:spacing w:lineRule="auto" w:line="254" w:before="360" w:after="120"/>
        <w:jc w:val="both"/>
        <w:rPr>
          <w:rFonts w:cs="Calibri" w:cstheme="minorHAnsi"/>
          <w:b/>
          <w:b/>
        </w:rPr>
      </w:pPr>
      <w:r>
        <w:rPr/>
      </w:r>
    </w:p>
    <w:p>
      <w:pPr>
        <w:pStyle w:val="Normal"/>
        <w:spacing w:lineRule="auto" w:line="254" w:before="360" w:after="120"/>
        <w:jc w:val="both"/>
        <w:rPr>
          <w:rFonts w:cs="Calibri" w:cstheme="minorHAnsi"/>
          <w:b/>
          <w:b/>
        </w:rPr>
      </w:pPr>
      <w:r>
        <w:rPr/>
      </w:r>
    </w:p>
    <w:p>
      <w:pPr>
        <w:pStyle w:val="Normal"/>
        <w:spacing w:lineRule="auto" w:line="254" w:before="360" w:after="120"/>
        <w:jc w:val="both"/>
        <w:rPr>
          <w:rFonts w:cs="Calibri" w:cstheme="minorHAnsi"/>
          <w:b/>
          <w:b/>
        </w:rPr>
      </w:pPr>
      <w:r>
        <w:rPr/>
      </w:r>
    </w:p>
    <w:p>
      <w:pPr>
        <w:pStyle w:val="Normal"/>
        <w:spacing w:lineRule="auto" w:line="254" w:before="360" w:after="120"/>
        <w:jc w:val="right"/>
        <w:rPr>
          <w:b w:val="false"/>
          <w:b w:val="false"/>
          <w:bCs w:val="false"/>
        </w:rPr>
      </w:pPr>
      <w:r>
        <w:rPr>
          <w:rFonts w:cs="Calibri" w:cstheme="minorHAnsi"/>
          <w:b w:val="false"/>
          <w:bCs w:val="false"/>
        </w:rPr>
        <w:t>Dyrektor ZOZ w Pińczowie</w:t>
      </w:r>
    </w:p>
    <w:p>
      <w:pPr>
        <w:pStyle w:val="Normal"/>
        <w:spacing w:lineRule="auto" w:line="254" w:before="360" w:after="120"/>
        <w:jc w:val="right"/>
        <w:rPr>
          <w:b w:val="false"/>
          <w:b w:val="false"/>
          <w:bCs w:val="false"/>
        </w:rPr>
      </w:pPr>
      <w:r>
        <w:rPr>
          <w:rFonts w:cs="Calibri" w:cstheme="minorHAnsi"/>
          <w:b w:val="false"/>
          <w:bCs w:val="false"/>
        </w:rPr>
        <w:t>Krzysztof Słonina</w:t>
      </w:r>
    </w:p>
    <w:sectPr>
      <w:type w:val="nextPage"/>
      <w:pgSz w:w="12240" w:h="15840"/>
      <w:pgMar w:left="1417" w:right="1417" w:header="0" w:top="851"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Courier New">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 w:name="Calibri">
    <w:charset w:val="01"/>
    <w:family w:val="swiss"/>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0"/>
      </w:pPr>
    </w:lvl>
    <w:lvl w:ilvl="1">
      <w:start w:val="1"/>
      <w:numFmt w:val="lowerLetter"/>
      <w:lvlText w:val="%2."/>
      <w:lvlJc w:val="left"/>
      <w:pPr>
        <w:ind w:left="1080" w:hanging="0"/>
      </w:pPr>
    </w:lvl>
    <w:lvl w:ilvl="2">
      <w:start w:val="1"/>
      <w:numFmt w:val="lowerRoman"/>
      <w:lvlText w:val="%3."/>
      <w:lvlJc w:val="left"/>
      <w:pPr>
        <w:ind w:left="1980" w:hanging="0"/>
      </w:pPr>
    </w:lvl>
    <w:lvl w:ilvl="3">
      <w:start w:val="1"/>
      <w:numFmt w:val="decimal"/>
      <w:lvlText w:val="%4."/>
      <w:lvlJc w:val="left"/>
      <w:pPr>
        <w:ind w:left="2520" w:hanging="0"/>
      </w:pPr>
      <w:rPr>
        <w:b/>
        <w:bCs/>
      </w:rPr>
    </w:lvl>
    <w:lvl w:ilvl="4">
      <w:start w:val="1"/>
      <w:numFmt w:val="lowerLetter"/>
      <w:lvlText w:val="%5."/>
      <w:lvlJc w:val="left"/>
      <w:pPr>
        <w:ind w:left="3240" w:hanging="0"/>
      </w:pPr>
    </w:lvl>
    <w:lvl w:ilvl="5">
      <w:start w:val="1"/>
      <w:numFmt w:val="lowerRoman"/>
      <w:lvlText w:val="%6."/>
      <w:lvlJc w:val="left"/>
      <w:pPr>
        <w:ind w:left="4140" w:hanging="0"/>
      </w:pPr>
    </w:lvl>
    <w:lvl w:ilvl="6">
      <w:start w:val="1"/>
      <w:numFmt w:val="decimal"/>
      <w:lvlText w:val="%7."/>
      <w:lvlJc w:val="left"/>
      <w:pPr>
        <w:ind w:left="4680" w:hanging="0"/>
      </w:pPr>
    </w:lvl>
    <w:lvl w:ilvl="7">
      <w:start w:val="1"/>
      <w:numFmt w:val="lowerLetter"/>
      <w:lvlText w:val="%8."/>
      <w:lvlJc w:val="left"/>
      <w:pPr>
        <w:ind w:left="5400" w:hanging="0"/>
      </w:pPr>
    </w:lvl>
    <w:lvl w:ilvl="8">
      <w:start w:val="1"/>
      <w:numFmt w:val="lowerRoman"/>
      <w:lvlText w:val="%9."/>
      <w:lvlJc w:val="left"/>
      <w:pPr>
        <w:ind w:left="6300" w:hanging="0"/>
      </w:pPr>
    </w:lvl>
  </w:abstractNum>
  <w:abstractNum w:abstractNumId="2">
    <w:lvl w:ilvl="0">
      <w:start w:val="1"/>
      <w:numFmt w:val="bullet"/>
      <w:lvlText w:val=""/>
      <w:lvlJc w:val="left"/>
      <w:pPr>
        <w:ind w:left="360" w:hanging="0"/>
      </w:pPr>
      <w:rPr>
        <w:rFonts w:ascii="Symbol" w:hAnsi="Symbol" w:cs="Symbol" w:hint="default"/>
        <w:sz w:val="22"/>
        <w:rFonts w:cs="Symbol"/>
      </w:rPr>
    </w:lvl>
    <w:lvl w:ilvl="1">
      <w:start w:val="1"/>
      <w:numFmt w:val="bullet"/>
      <w:lvlText w:val="-"/>
      <w:lvlJc w:val="left"/>
      <w:pPr>
        <w:ind w:left="1080" w:hanging="0"/>
      </w:pPr>
      <w:rPr>
        <w:rFonts w:ascii="Calibri" w:hAnsi="Calibri" w:cs="Calibri" w:hint="default"/>
        <w:sz w:val="22"/>
        <w:rFonts w:cs="Calibri"/>
      </w:rPr>
    </w:lvl>
    <w:lvl w:ilvl="2">
      <w:start w:val="1"/>
      <w:numFmt w:val="bullet"/>
      <w:lvlText w:val=""/>
      <w:lvlJc w:val="left"/>
      <w:pPr>
        <w:ind w:left="1800" w:hanging="0"/>
      </w:pPr>
      <w:rPr>
        <w:rFonts w:ascii="Wingdings" w:hAnsi="Wingdings" w:cs="Wingdings" w:hint="default"/>
        <w:rFonts w:cs="Wingdings"/>
      </w:rPr>
    </w:lvl>
    <w:lvl w:ilvl="3">
      <w:start w:val="1"/>
      <w:numFmt w:val="bullet"/>
      <w:lvlText w:val=""/>
      <w:lvlJc w:val="left"/>
      <w:pPr>
        <w:ind w:left="2520" w:hanging="0"/>
      </w:pPr>
      <w:rPr>
        <w:rFonts w:ascii="Symbol" w:hAnsi="Symbol" w:cs="Symbol" w:hint="default"/>
        <w:rFonts w:cs="Symbol"/>
      </w:rPr>
    </w:lvl>
    <w:lvl w:ilvl="4">
      <w:start w:val="1"/>
      <w:numFmt w:val="bullet"/>
      <w:lvlText w:val="o"/>
      <w:lvlJc w:val="left"/>
      <w:pPr>
        <w:ind w:left="3240" w:hanging="0"/>
      </w:pPr>
      <w:rPr>
        <w:rFonts w:ascii="Courier New" w:hAnsi="Courier New" w:cs="Courier New" w:hint="default"/>
        <w:rFonts w:cs="Courier New"/>
      </w:rPr>
    </w:lvl>
    <w:lvl w:ilvl="5">
      <w:start w:val="1"/>
      <w:numFmt w:val="bullet"/>
      <w:lvlText w:val=""/>
      <w:lvlJc w:val="left"/>
      <w:pPr>
        <w:ind w:left="3960" w:hanging="0"/>
      </w:pPr>
      <w:rPr>
        <w:rFonts w:ascii="Wingdings" w:hAnsi="Wingdings" w:cs="Wingdings" w:hint="default"/>
        <w:rFonts w:cs="Wingdings"/>
      </w:rPr>
    </w:lvl>
    <w:lvl w:ilvl="6">
      <w:start w:val="1"/>
      <w:numFmt w:val="bullet"/>
      <w:lvlText w:val=""/>
      <w:lvlJc w:val="left"/>
      <w:pPr>
        <w:ind w:left="4680" w:hanging="0"/>
      </w:pPr>
      <w:rPr>
        <w:rFonts w:ascii="Symbol" w:hAnsi="Symbol" w:cs="Symbol" w:hint="default"/>
        <w:rFonts w:cs="Symbol"/>
      </w:rPr>
    </w:lvl>
    <w:lvl w:ilvl="7">
      <w:start w:val="1"/>
      <w:numFmt w:val="bullet"/>
      <w:lvlText w:val="o"/>
      <w:lvlJc w:val="left"/>
      <w:pPr>
        <w:ind w:left="5400" w:hanging="0"/>
      </w:pPr>
      <w:rPr>
        <w:rFonts w:ascii="Courier New" w:hAnsi="Courier New" w:cs="Courier New" w:hint="default"/>
        <w:rFonts w:cs="Courier New"/>
      </w:rPr>
    </w:lvl>
    <w:lvl w:ilvl="8">
      <w:start w:val="1"/>
      <w:numFmt w:val="bullet"/>
      <w:lvlText w:val=""/>
      <w:lvlJc w:val="left"/>
      <w:pPr>
        <w:ind w:left="6120" w:hanging="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Calibri" w:hAnsi="Calibri" w:cs="Calibri" w:hint="default"/>
        <w:dstrike w:val="false"/>
        <w:strike w:val="false"/>
        <w:vertAlign w:val="baseline"/>
        <w:position w:val="0"/>
        <w:sz w:val="20"/>
        <w:sz w:val="20"/>
        <w:i w:val="false"/>
        <w:u w:val="none" w:color="000000"/>
        <w:b/>
        <w:szCs w:val="20"/>
        <w:rFonts w:cs="Calibri"/>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Calibri" w:hAnsi="Calibri" w:cs="Calibri" w:hint="default"/>
        <w:dstrike w:val="false"/>
        <w:strike w:val="false"/>
        <w:vertAlign w:val="baseline"/>
        <w:position w:val="0"/>
        <w:sz w:val="20"/>
        <w:sz w:val="20"/>
        <w:i w:val="false"/>
        <w:u w:val="none" w:color="000000"/>
        <w:b/>
        <w:szCs w:val="20"/>
        <w:rFonts w:cs="Calibri"/>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0339"/>
    <w:pPr>
      <w:widowControl/>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next w:val="Normal"/>
    <w:link w:val="Nagwek1Znak"/>
    <w:uiPriority w:val="9"/>
    <w:qFormat/>
    <w:rsid w:val="00111126"/>
    <w:pPr>
      <w:keepNext w:val="true"/>
      <w:keepLines/>
      <w:widowControl/>
      <w:bidi w:val="0"/>
      <w:spacing w:lineRule="auto" w:line="264" w:before="0" w:after="213"/>
      <w:ind w:left="370" w:hanging="10"/>
      <w:jc w:val="left"/>
      <w:outlineLvl w:val="0"/>
    </w:pPr>
    <w:rPr>
      <w:rFonts w:ascii="Calibri" w:hAnsi="Calibri" w:eastAsia="Calibri" w:cs="Calibri"/>
      <w:color w:val="000000"/>
      <w:kern w:val="0"/>
      <w:sz w:val="20"/>
      <w:szCs w:val="22"/>
      <w:u w:val="single" w:color="000000"/>
      <w:lang w:val="pl-PL" w:eastAsia="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ea3edb"/>
    <w:rPr/>
  </w:style>
  <w:style w:type="character" w:styleId="StopkaZnak" w:customStyle="1">
    <w:name w:val="Stopka Znak"/>
    <w:basedOn w:val="DefaultParagraphFont"/>
    <w:link w:val="Stopka"/>
    <w:uiPriority w:val="99"/>
    <w:qFormat/>
    <w:rsid w:val="00ea3edb"/>
    <w:rPr/>
  </w:style>
  <w:style w:type="character" w:styleId="Czeinternetowe">
    <w:name w:val="Łącze internetowe"/>
    <w:basedOn w:val="DefaultParagraphFont"/>
    <w:uiPriority w:val="99"/>
    <w:unhideWhenUsed/>
    <w:rsid w:val="002401f4"/>
    <w:rPr>
      <w:color w:val="0563C1"/>
      <w:u w:val="single"/>
    </w:rPr>
  </w:style>
  <w:style w:type="character" w:styleId="TekstprzypisukocowegoZnak" w:customStyle="1">
    <w:name w:val="Tekst przypisu końcowego Znak"/>
    <w:basedOn w:val="DefaultParagraphFont"/>
    <w:link w:val="Tekstprzypisukocowego"/>
    <w:uiPriority w:val="99"/>
    <w:semiHidden/>
    <w:qFormat/>
    <w:rsid w:val="00e56972"/>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e56972"/>
    <w:rPr>
      <w:vertAlign w:val="superscript"/>
    </w:rPr>
  </w:style>
  <w:style w:type="character" w:styleId="Annotationreference">
    <w:name w:val="annotation reference"/>
    <w:basedOn w:val="DefaultParagraphFont"/>
    <w:uiPriority w:val="99"/>
    <w:unhideWhenUsed/>
    <w:qFormat/>
    <w:rsid w:val="009c6bca"/>
    <w:rPr>
      <w:sz w:val="16"/>
      <w:szCs w:val="16"/>
    </w:rPr>
  </w:style>
  <w:style w:type="character" w:styleId="TekstkomentarzaZnak" w:customStyle="1">
    <w:name w:val="Tekst komentarza Znak"/>
    <w:basedOn w:val="DefaultParagraphFont"/>
    <w:link w:val="Tekstkomentarza"/>
    <w:uiPriority w:val="99"/>
    <w:qFormat/>
    <w:rsid w:val="009c6bca"/>
    <w:rPr>
      <w:sz w:val="20"/>
      <w:szCs w:val="20"/>
    </w:rPr>
  </w:style>
  <w:style w:type="character" w:styleId="TematkomentarzaZnak" w:customStyle="1">
    <w:name w:val="Temat komentarza Znak"/>
    <w:basedOn w:val="TekstkomentarzaZnak"/>
    <w:link w:val="Tematkomentarza"/>
    <w:uiPriority w:val="99"/>
    <w:semiHidden/>
    <w:qFormat/>
    <w:rsid w:val="009c6bca"/>
    <w:rPr>
      <w:b/>
      <w:bCs/>
      <w:sz w:val="20"/>
      <w:szCs w:val="20"/>
    </w:rPr>
  </w:style>
  <w:style w:type="character" w:styleId="TekstdymkaZnak" w:customStyle="1">
    <w:name w:val="Tekst dymka Znak"/>
    <w:basedOn w:val="DefaultParagraphFont"/>
    <w:link w:val="Tekstdymka"/>
    <w:uiPriority w:val="99"/>
    <w:semiHidden/>
    <w:qFormat/>
    <w:rsid w:val="009c6bca"/>
    <w:rPr>
      <w:rFonts w:ascii="Segoe UI" w:hAnsi="Segoe UI" w:cs="Segoe UI"/>
      <w:sz w:val="18"/>
      <w:szCs w:val="18"/>
    </w:rPr>
  </w:style>
  <w:style w:type="character" w:styleId="AkapitzlistZnak" w:customStyle="1">
    <w:name w:val="Akapit z listą Znak"/>
    <w:link w:val="Akapitzlist"/>
    <w:uiPriority w:val="99"/>
    <w:qFormat/>
    <w:locked/>
    <w:rsid w:val="00b024f7"/>
    <w:rPr>
      <w:lang w:val="pl-PL"/>
    </w:rPr>
  </w:style>
  <w:style w:type="character" w:styleId="HTMLwstpniesformatowanyZnak" w:customStyle="1">
    <w:name w:val="HTML - wstępnie sformatowany Znak"/>
    <w:basedOn w:val="DefaultParagraphFont"/>
    <w:link w:val="HTML-wstpniesformatowany"/>
    <w:uiPriority w:val="99"/>
    <w:semiHidden/>
    <w:qFormat/>
    <w:rsid w:val="00dc0c69"/>
    <w:rPr>
      <w:rFonts w:ascii="Courier New" w:hAnsi="Courier New" w:eastAsia="Times New Roman" w:cs="Courier New"/>
      <w:sz w:val="20"/>
      <w:szCs w:val="20"/>
      <w:lang w:val="pl-PL" w:eastAsia="pl-PL"/>
    </w:rPr>
  </w:style>
  <w:style w:type="character" w:styleId="Nierozpoznanawzmianka1" w:customStyle="1">
    <w:name w:val="Nierozpoznana wzmianka1"/>
    <w:basedOn w:val="DefaultParagraphFont"/>
    <w:uiPriority w:val="99"/>
    <w:semiHidden/>
    <w:unhideWhenUsed/>
    <w:qFormat/>
    <w:rsid w:val="00c60c61"/>
    <w:rPr>
      <w:color w:val="605E5C"/>
      <w:shd w:fill="E1DFDD" w:val="clear"/>
    </w:rPr>
  </w:style>
  <w:style w:type="character" w:styleId="FollowedHyperlink">
    <w:name w:val="FollowedHyperlink"/>
    <w:basedOn w:val="DefaultParagraphFont"/>
    <w:uiPriority w:val="99"/>
    <w:semiHidden/>
    <w:unhideWhenUsed/>
    <w:qFormat/>
    <w:rsid w:val="003577ba"/>
    <w:rPr>
      <w:color w:val="954F72" w:themeColor="followedHyperlink"/>
      <w:u w:val="single"/>
    </w:rPr>
  </w:style>
  <w:style w:type="character" w:styleId="Nierozpoznanawzmianka2" w:customStyle="1">
    <w:name w:val="Nierozpoznana wzmianka2"/>
    <w:basedOn w:val="DefaultParagraphFont"/>
    <w:uiPriority w:val="99"/>
    <w:semiHidden/>
    <w:unhideWhenUsed/>
    <w:qFormat/>
    <w:rsid w:val="00604bec"/>
    <w:rPr>
      <w:color w:val="605E5C"/>
      <w:shd w:fill="E1DFDD" w:val="clear"/>
    </w:rPr>
  </w:style>
  <w:style w:type="character" w:styleId="Tekstpodstawowy2Znak" w:customStyle="1">
    <w:name w:val="Tekst podstawowy 2 Znak"/>
    <w:basedOn w:val="DefaultParagraphFont"/>
    <w:link w:val="Tekstpodstawowy2"/>
    <w:uiPriority w:val="99"/>
    <w:qFormat/>
    <w:rsid w:val="00580047"/>
    <w:rPr>
      <w:rFonts w:ascii="Times New Roman" w:hAnsi="Times New Roman" w:cs="Times New Roman"/>
      <w:sz w:val="24"/>
      <w:szCs w:val="24"/>
      <w:lang w:val="pl-PL" w:eastAsia="pl-PL"/>
    </w:rPr>
  </w:style>
  <w:style w:type="character" w:styleId="Wyrnienie">
    <w:name w:val="Wyróżnienie"/>
    <w:basedOn w:val="DefaultParagraphFont"/>
    <w:uiPriority w:val="20"/>
    <w:qFormat/>
    <w:rsid w:val="00186be1"/>
    <w:rPr>
      <w:i/>
      <w:iCs/>
    </w:rPr>
  </w:style>
  <w:style w:type="character" w:styleId="Nagwek1Znak" w:customStyle="1">
    <w:name w:val="Nagłówek 1 Znak"/>
    <w:basedOn w:val="DefaultParagraphFont"/>
    <w:link w:val="Nagwek1"/>
    <w:uiPriority w:val="9"/>
    <w:qFormat/>
    <w:rsid w:val="00111126"/>
    <w:rPr>
      <w:rFonts w:ascii="Calibri" w:hAnsi="Calibri" w:eastAsia="Calibri" w:cs="Calibri"/>
      <w:color w:val="000000"/>
      <w:sz w:val="20"/>
      <w:u w:val="single" w:color="000000"/>
      <w:lang w:val="pl-PL" w:eastAsia="pl-PL"/>
    </w:rPr>
  </w:style>
  <w:style w:type="character" w:styleId="Strong">
    <w:name w:val="Strong"/>
    <w:basedOn w:val="DefaultParagraphFont"/>
    <w:uiPriority w:val="22"/>
    <w:qFormat/>
    <w:rsid w:val="00d75f69"/>
    <w:rPr>
      <w:b/>
      <w:bCs/>
    </w:rPr>
  </w:style>
  <w:style w:type="character" w:styleId="ListLabel1">
    <w:name w:val="ListLabel 1"/>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eastAsia="Calibri" w:cs="Calibri"/>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Calibri"/>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Calibri" w:cs="Calibri"/>
      <w:b w:val="false"/>
      <w:i w:val="false"/>
      <w:strike w:val="false"/>
      <w:dstrike w:val="false"/>
      <w:color w:val="000000"/>
      <w:position w:val="0"/>
      <w:sz w:val="20"/>
      <w:sz w:val="20"/>
      <w:szCs w:val="20"/>
      <w:u w:val="none" w:color="000000"/>
      <w:effect w:val="none"/>
      <w:vertAlign w:val="baseline"/>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eastAsia="Calibri" w:cs="Calibri"/>
      <w:b w:val="false"/>
      <w:i w:val="false"/>
      <w:strike w:val="false"/>
      <w:dstrike w:val="false"/>
      <w:color w:val="000000"/>
      <w:position w:val="0"/>
      <w:sz w:val="20"/>
      <w:sz w:val="20"/>
      <w:szCs w:val="20"/>
      <w:u w:val="none" w:color="000000"/>
      <w:effect w:val="none"/>
      <w:vertAlign w:val="baseline"/>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strike/>
      <w:color w:val="auto"/>
    </w:rPr>
  </w:style>
  <w:style w:type="character" w:styleId="ListLabel35">
    <w:name w:val="ListLabel 35"/>
    <w:qFormat/>
    <w:rPr>
      <w:sz w:val="20"/>
    </w:rPr>
  </w:style>
  <w:style w:type="character" w:styleId="ListLabel36">
    <w:name w:val="ListLabel 36"/>
    <w:qFormat/>
    <w:rPr>
      <w:rFonts w:cs="Times New Roman"/>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rFonts w:eastAsia="Times New Roman" w:cs="Arial"/>
    </w:rPr>
  </w:style>
  <w:style w:type="character" w:styleId="ListLabel45">
    <w:name w:val="ListLabel 45"/>
    <w:qFormat/>
    <w:rPr>
      <w:i w:val="false"/>
      <w:iCs w:val="false"/>
    </w:rPr>
  </w:style>
  <w:style w:type="character" w:styleId="ListLabel46">
    <w:name w:val="ListLabel 46"/>
    <w:qFormat/>
    <w:rPr>
      <w:rFonts w:eastAsia="Times New Roman" w:cs="Times New Roman"/>
    </w:rPr>
  </w:style>
  <w:style w:type="character" w:styleId="ListLabel47">
    <w:name w:val="ListLabel 47"/>
    <w:qFormat/>
    <w:rPr>
      <w:b w:val="false"/>
      <w:bCs w:val="false"/>
    </w:rPr>
  </w:style>
  <w:style w:type="character" w:styleId="ListLabel48">
    <w:name w:val="ListLabel 48"/>
    <w:qFormat/>
    <w:rPr>
      <w:b w:val="false"/>
      <w:bCs w:val="false"/>
    </w:rPr>
  </w:style>
  <w:style w:type="character" w:styleId="ListLabel49">
    <w:name w:val="ListLabel 49"/>
    <w:qFormat/>
    <w:rPr>
      <w:b w:val="false"/>
      <w:bCs w:val="false"/>
    </w:rPr>
  </w:style>
  <w:style w:type="character" w:styleId="ListLabel50">
    <w:name w:val="ListLabel 50"/>
    <w:qFormat/>
    <w:rPr>
      <w:b/>
      <w:bCs/>
    </w:rPr>
  </w:style>
  <w:style w:type="character" w:styleId="ListLabel51">
    <w:name w:val="ListLabel 51"/>
    <w:qFormat/>
    <w:rPr>
      <w:rFonts w:ascii="Calibri" w:hAnsi="Calibri" w:cs="Symbol"/>
      <w:sz w:val="22"/>
    </w:rPr>
  </w:style>
  <w:style w:type="character" w:styleId="ListLabel52">
    <w:name w:val="ListLabel 52"/>
    <w:qFormat/>
    <w:rPr>
      <w:rFonts w:cs="Calibri"/>
      <w:sz w:val="22"/>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b w:val="false"/>
      <w:bCs/>
    </w:rPr>
  </w:style>
  <w:style w:type="character" w:styleId="ListLabel61">
    <w:name w:val="ListLabel 61"/>
    <w:qFormat/>
    <w:rPr>
      <w:rFonts w:eastAsia="Calibri" w:cs="Calibri"/>
      <w:b/>
      <w:i w:val="false"/>
      <w:strike w:val="false"/>
      <w:dstrike w:val="false"/>
      <w:color w:val="000000"/>
      <w:position w:val="0"/>
      <w:sz w:val="20"/>
      <w:sz w:val="20"/>
      <w:szCs w:val="20"/>
      <w:u w:val="none" w:color="000000"/>
      <w:vertAlign w:val="baseline"/>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eastAsia="Calibri" w:cs="Calibri"/>
      <w:b/>
      <w:i w:val="false"/>
      <w:strike w:val="false"/>
      <w:dstrike w:val="false"/>
      <w:color w:val="000000"/>
      <w:position w:val="0"/>
      <w:sz w:val="20"/>
      <w:sz w:val="20"/>
      <w:szCs w:val="20"/>
      <w:u w:val="none" w:color="000000"/>
      <w:vertAlign w:val="baseline"/>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b/>
      <w:bCs/>
    </w:rPr>
  </w:style>
  <w:style w:type="character" w:styleId="ListLabel70">
    <w:name w:val="ListLabel 70"/>
    <w:qFormat/>
    <w:rPr>
      <w:rFonts w:ascii="Calibri" w:hAnsi="Calibri" w:cs="Symbol"/>
      <w:sz w:val="22"/>
    </w:rPr>
  </w:style>
  <w:style w:type="character" w:styleId="ListLabel71">
    <w:name w:val="ListLabel 71"/>
    <w:qFormat/>
    <w:rPr>
      <w:rFonts w:cs="Calibri"/>
      <w:sz w:val="22"/>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Calibri"/>
      <w:b/>
      <w:i w:val="false"/>
      <w:strike w:val="false"/>
      <w:dstrike w:val="false"/>
      <w:color w:val="000000"/>
      <w:position w:val="0"/>
      <w:sz w:val="20"/>
      <w:sz w:val="20"/>
      <w:szCs w:val="20"/>
      <w:u w:val="none" w:color="000000"/>
      <w:vertAlign w:val="baseline"/>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Calibri"/>
      <w:b/>
      <w:i w:val="false"/>
      <w:strike w:val="false"/>
      <w:dstrike w:val="false"/>
      <w:color w:val="000000"/>
      <w:position w:val="0"/>
      <w:sz w:val="20"/>
      <w:sz w:val="20"/>
      <w:szCs w:val="20"/>
      <w:u w:val="none" w:color="000000"/>
      <w:vertAlign w:val="baseline"/>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unhideWhenUsed/>
    <w:rsid w:val="00ea3edb"/>
    <w:pPr>
      <w:tabs>
        <w:tab w:val="clear" w:pos="720"/>
        <w:tab w:val="center" w:pos="4703" w:leader="none"/>
        <w:tab w:val="right" w:pos="9406" w:leader="none"/>
      </w:tabs>
      <w:spacing w:lineRule="auto" w:line="240" w:before="0" w:after="0"/>
    </w:pPr>
    <w:rPr/>
  </w:style>
  <w:style w:type="paragraph" w:styleId="Stopka">
    <w:name w:val="Footer"/>
    <w:basedOn w:val="Normal"/>
    <w:link w:val="StopkaZnak"/>
    <w:uiPriority w:val="99"/>
    <w:unhideWhenUsed/>
    <w:rsid w:val="00ea3edb"/>
    <w:pPr>
      <w:tabs>
        <w:tab w:val="clear" w:pos="720"/>
        <w:tab w:val="center" w:pos="4703" w:leader="none"/>
        <w:tab w:val="right" w:pos="9406" w:leader="none"/>
      </w:tabs>
      <w:spacing w:lineRule="auto" w:line="240" w:before="0" w:after="0"/>
    </w:pPr>
    <w:rPr/>
  </w:style>
  <w:style w:type="paragraph" w:styleId="Przypiskocowy">
    <w:name w:val="Endnote Text"/>
    <w:basedOn w:val="Normal"/>
    <w:link w:val="TekstprzypisukocowegoZnak"/>
    <w:uiPriority w:val="99"/>
    <w:semiHidden/>
    <w:unhideWhenUsed/>
    <w:rsid w:val="00e56972"/>
    <w:pPr>
      <w:spacing w:lineRule="auto" w:line="240" w:before="0" w:after="0"/>
    </w:pPr>
    <w:rPr>
      <w:sz w:val="20"/>
      <w:szCs w:val="20"/>
    </w:rPr>
  </w:style>
  <w:style w:type="paragraph" w:styleId="Annotationtext">
    <w:name w:val="annotation text"/>
    <w:basedOn w:val="Normal"/>
    <w:link w:val="TekstkomentarzaZnak"/>
    <w:uiPriority w:val="99"/>
    <w:unhideWhenUsed/>
    <w:qFormat/>
    <w:rsid w:val="009c6bca"/>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9c6bca"/>
    <w:pPr/>
    <w:rPr>
      <w:b/>
      <w:bCs/>
    </w:rPr>
  </w:style>
  <w:style w:type="paragraph" w:styleId="BalloonText">
    <w:name w:val="Balloon Text"/>
    <w:basedOn w:val="Normal"/>
    <w:link w:val="TekstdymkaZnak"/>
    <w:uiPriority w:val="99"/>
    <w:semiHidden/>
    <w:unhideWhenUsed/>
    <w:qFormat/>
    <w:rsid w:val="009c6bca"/>
    <w:pPr>
      <w:spacing w:lineRule="auto" w:line="240" w:before="0" w:after="0"/>
    </w:pPr>
    <w:rPr>
      <w:rFonts w:ascii="Segoe UI" w:hAnsi="Segoe UI" w:cs="Segoe UI"/>
      <w:sz w:val="18"/>
      <w:szCs w:val="18"/>
    </w:rPr>
  </w:style>
  <w:style w:type="paragraph" w:styleId="ListParagraph">
    <w:name w:val="List Paragraph"/>
    <w:basedOn w:val="Normal"/>
    <w:link w:val="AkapitzlistZnak"/>
    <w:qFormat/>
    <w:rsid w:val="00bc738b"/>
    <w:pPr>
      <w:spacing w:lineRule="auto" w:line="259" w:before="0" w:after="160"/>
      <w:ind w:left="720" w:hanging="0"/>
      <w:contextualSpacing/>
    </w:pPr>
    <w:rPr/>
  </w:style>
  <w:style w:type="paragraph" w:styleId="Revision">
    <w:name w:val="Revision"/>
    <w:uiPriority w:val="99"/>
    <w:semiHidden/>
    <w:qFormat/>
    <w:rsid w:val="00fd5c3a"/>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Standard" w:customStyle="1">
    <w:name w:val="Standard"/>
    <w:qFormat/>
    <w:rsid w:val="00304642"/>
    <w:pPr>
      <w:widowControl/>
      <w:suppressAutoHyphens w:val="true"/>
      <w:bidi w:val="0"/>
      <w:spacing w:lineRule="auto" w:line="360" w:before="0" w:after="0"/>
      <w:jc w:val="both"/>
      <w:textAlignment w:val="baseline"/>
    </w:pPr>
    <w:rPr>
      <w:rFonts w:ascii="Arial" w:hAnsi="Arial" w:eastAsia="Times New Roman" w:cs="Arial"/>
      <w:color w:val="auto"/>
      <w:kern w:val="2"/>
      <w:sz w:val="22"/>
      <w:szCs w:val="24"/>
      <w:lang w:val="pl-PL" w:eastAsia="zh-CN" w:bidi="ar-SA"/>
    </w:rPr>
  </w:style>
  <w:style w:type="paragraph" w:styleId="HTMLPreformatted">
    <w:name w:val="HTML Preformatted"/>
    <w:basedOn w:val="Normal"/>
    <w:link w:val="HTML-wstpniesformatowanyZnak"/>
    <w:uiPriority w:val="99"/>
    <w:semiHidden/>
    <w:unhideWhenUsed/>
    <w:qFormat/>
    <w:rsid w:val="00dc0c69"/>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pl-PL"/>
    </w:rPr>
  </w:style>
  <w:style w:type="paragraph" w:styleId="Default" w:customStyle="1">
    <w:name w:val="Default"/>
    <w:qFormat/>
    <w:rsid w:val="0022631a"/>
    <w:pPr>
      <w:widowControl/>
      <w:bidi w:val="0"/>
      <w:spacing w:lineRule="auto" w:line="240" w:before="0" w:after="0"/>
      <w:jc w:val="left"/>
    </w:pPr>
    <w:rPr>
      <w:rFonts w:ascii="Calibri" w:hAnsi="Calibri" w:eastAsia="Calibri" w:cs="Calibri"/>
      <w:color w:val="000000"/>
      <w:kern w:val="0"/>
      <w:sz w:val="24"/>
      <w:szCs w:val="24"/>
      <w:lang w:val="pl-PL" w:eastAsia="en-US" w:bidi="ar-SA"/>
    </w:rPr>
  </w:style>
  <w:style w:type="paragraph" w:styleId="NormalWeb">
    <w:name w:val="Normal (Web)"/>
    <w:basedOn w:val="Normal"/>
    <w:uiPriority w:val="99"/>
    <w:unhideWhenUsed/>
    <w:qFormat/>
    <w:rsid w:val="00580047"/>
    <w:pPr>
      <w:spacing w:lineRule="auto" w:line="240" w:beforeAutospacing="1" w:afterAutospacing="1"/>
    </w:pPr>
    <w:rPr>
      <w:rFonts w:ascii="Calibri" w:hAnsi="Calibri" w:cs="Calibri"/>
      <w:lang w:eastAsia="pl-PL"/>
    </w:rPr>
  </w:style>
  <w:style w:type="paragraph" w:styleId="BodyText2">
    <w:name w:val="Body Text 2"/>
    <w:basedOn w:val="Normal"/>
    <w:link w:val="Tekstpodstawowy2Znak"/>
    <w:uiPriority w:val="99"/>
    <w:unhideWhenUsed/>
    <w:qFormat/>
    <w:rsid w:val="00580047"/>
    <w:pPr>
      <w:spacing w:lineRule="auto" w:line="240" w:before="0" w:after="0"/>
    </w:pPr>
    <w:rPr>
      <w:rFonts w:ascii="Times New Roman" w:hAnsi="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7D65B0-EEBD-446E-A667-8D888F56BF00}">
  <ds:schemaRefs>
    <ds:schemaRef ds:uri="http://schemas.openxmlformats.org/officeDocument/2006/bibliography"/>
  </ds:schemaRefs>
</ds:datastoreItem>
</file>

<file path=customXml/itemProps2.xml><?xml version="1.0" encoding="utf-8"?>
<ds:datastoreItem xmlns:ds="http://schemas.openxmlformats.org/officeDocument/2006/customXml" ds:itemID="{11593CCD-18C3-4928-AC67-F58EBE24D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016E0-79C8-43E8-A32D-963E7D96F0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LibreOffice/6.2.5.2$Windows_x86 LibreOffice_project/1ec314fa52f458adc18c4f025c545a4e8b22c159</Application>
  <Pages>7</Pages>
  <Words>2021</Words>
  <Characters>12386</Characters>
  <CharactersWithSpaces>14331</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2020-11-13T08:15:00Z</dcterms:created>
  <dc:creator>Katarzyna</dc:creator>
  <dc:description/>
  <dc:language>pl-PL</dc:language>
  <cp:lastModifiedBy/>
  <cp:lastPrinted>2020-11-13T11:31:15Z</cp:lastPrinted>
  <dcterms:modified xsi:type="dcterms:W3CDTF">2020-11-13T11:31:19Z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0x01010010C1C867330330498A47AFEE86AFD974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